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61AD" w14:textId="44D99D97" w:rsidR="0086330D" w:rsidRPr="00123406" w:rsidRDefault="00007796" w:rsidP="005A794A">
      <w:pPr>
        <w:ind w:left="-284" w:hanging="33"/>
        <w:jc w:val="both"/>
        <w:rPr>
          <w:rFonts w:cs="Times New Roman"/>
          <w:b/>
          <w:sz w:val="24"/>
          <w:szCs w:val="24"/>
        </w:rPr>
      </w:pPr>
      <w:r w:rsidRPr="00123406">
        <w:rPr>
          <w:rFonts w:cs="Times New Roman"/>
          <w:b/>
          <w:sz w:val="24"/>
          <w:szCs w:val="24"/>
          <w:u w:val="single"/>
        </w:rPr>
        <w:t>MATERIAL RISKS DISCLOSURE</w:t>
      </w:r>
      <w:r w:rsidRPr="00007796">
        <w:rPr>
          <w:rFonts w:cs="Times New Roman"/>
          <w:b/>
          <w:sz w:val="24"/>
          <w:szCs w:val="24"/>
        </w:rPr>
        <w:tab/>
      </w:r>
      <w:r w:rsidRPr="00007796">
        <w:rPr>
          <w:rFonts w:cs="Times New Roman"/>
          <w:b/>
          <w:sz w:val="24"/>
          <w:szCs w:val="24"/>
        </w:rPr>
        <w:tab/>
      </w:r>
      <w:r>
        <w:rPr>
          <w:rFonts w:cs="Times New Roman"/>
          <w:b/>
          <w:sz w:val="24"/>
          <w:szCs w:val="24"/>
        </w:rPr>
        <w:t xml:space="preserve">      </w:t>
      </w:r>
      <w:r w:rsidR="0086330D" w:rsidRPr="00123406">
        <w:rPr>
          <w:rFonts w:cs="Times New Roman"/>
          <w:b/>
          <w:sz w:val="24"/>
          <w:szCs w:val="24"/>
        </w:rPr>
        <w:t>APPF-__________</w:t>
      </w:r>
      <w:r w:rsidR="00D90318" w:rsidRPr="00123406">
        <w:rPr>
          <w:rFonts w:cs="Times New Roman"/>
          <w:b/>
          <w:sz w:val="24"/>
          <w:szCs w:val="24"/>
        </w:rPr>
        <w:tab/>
      </w:r>
    </w:p>
    <w:p w14:paraId="79FC19F0" w14:textId="77777777" w:rsidR="002C5F3F" w:rsidRDefault="005A25E3" w:rsidP="005A794A">
      <w:pPr>
        <w:spacing w:after="0" w:line="240" w:lineRule="auto"/>
        <w:ind w:left="-284" w:hanging="33"/>
        <w:jc w:val="both"/>
        <w:rPr>
          <w:rFonts w:cs="Times New Roman"/>
          <w:b/>
        </w:rPr>
      </w:pPr>
      <w:r>
        <w:rPr>
          <w:rFonts w:cs="Times New Roman"/>
          <w:b/>
        </w:rPr>
        <w:t>This document will indicate and explain the risks associated with the financing being arranged</w:t>
      </w:r>
      <w:r w:rsidR="002C5F3F" w:rsidRPr="00123406">
        <w:rPr>
          <w:rFonts w:cs="Times New Roman"/>
          <w:b/>
        </w:rPr>
        <w:t xml:space="preserve">. </w:t>
      </w:r>
      <w:r>
        <w:rPr>
          <w:rFonts w:cs="Times New Roman"/>
          <w:b/>
        </w:rPr>
        <w:t>T</w:t>
      </w:r>
      <w:r w:rsidR="002C5F3F" w:rsidRPr="00123406">
        <w:rPr>
          <w:rFonts w:cs="Times New Roman"/>
          <w:b/>
        </w:rPr>
        <w:t>he following specific risks associated with this particular transaction have been discussed and are fully understood by the borrower(s):</w:t>
      </w:r>
    </w:p>
    <w:p w14:paraId="577C0233" w14:textId="77777777" w:rsidR="00855E28" w:rsidRDefault="00855E28" w:rsidP="005A25E3">
      <w:pPr>
        <w:spacing w:after="0" w:line="240" w:lineRule="auto"/>
        <w:ind w:left="2835"/>
        <w:jc w:val="both"/>
        <w:rPr>
          <w:rFonts w:cs="Times New Roman"/>
          <w:b/>
        </w:rPr>
      </w:pPr>
    </w:p>
    <w:tbl>
      <w:tblPr>
        <w:tblStyle w:val="TableGrid"/>
        <w:tblW w:w="10890" w:type="dxa"/>
        <w:tblInd w:w="-342" w:type="dxa"/>
        <w:tblLook w:val="04A0" w:firstRow="1" w:lastRow="0" w:firstColumn="1" w:lastColumn="0" w:noHBand="0" w:noVBand="1"/>
      </w:tblPr>
      <w:tblGrid>
        <w:gridCol w:w="450"/>
        <w:gridCol w:w="8534"/>
        <w:gridCol w:w="1906"/>
      </w:tblGrid>
      <w:tr w:rsidR="002C5F3F" w14:paraId="11F08E5C" w14:textId="77777777" w:rsidTr="00395D3C">
        <w:tc>
          <w:tcPr>
            <w:tcW w:w="450" w:type="dxa"/>
          </w:tcPr>
          <w:p w14:paraId="4B6D3BAA" w14:textId="77777777" w:rsidR="002C5F3F" w:rsidRDefault="002C5F3F"/>
        </w:tc>
        <w:tc>
          <w:tcPr>
            <w:tcW w:w="8534" w:type="dxa"/>
          </w:tcPr>
          <w:p w14:paraId="3896BA21" w14:textId="77777777" w:rsidR="002C5F3F" w:rsidRPr="0053627A" w:rsidRDefault="002C5F3F" w:rsidP="002C5F3F">
            <w:pPr>
              <w:jc w:val="center"/>
              <w:rPr>
                <w:b/>
                <w:sz w:val="24"/>
                <w:szCs w:val="24"/>
                <w:u w:val="single"/>
              </w:rPr>
            </w:pPr>
            <w:r w:rsidRPr="0053627A">
              <w:rPr>
                <w:b/>
                <w:sz w:val="24"/>
                <w:szCs w:val="24"/>
                <w:u w:val="single"/>
              </w:rPr>
              <w:t>MATERIAL RISK</w:t>
            </w:r>
          </w:p>
        </w:tc>
        <w:tc>
          <w:tcPr>
            <w:tcW w:w="1906" w:type="dxa"/>
          </w:tcPr>
          <w:p w14:paraId="096F67DF" w14:textId="77777777" w:rsidR="002C5F3F" w:rsidRPr="0053627A" w:rsidRDefault="002C5F3F" w:rsidP="002C5F3F">
            <w:pPr>
              <w:jc w:val="center"/>
              <w:rPr>
                <w:b/>
                <w:sz w:val="24"/>
                <w:szCs w:val="24"/>
                <w:u w:val="single"/>
              </w:rPr>
            </w:pPr>
            <w:r w:rsidRPr="0053627A">
              <w:rPr>
                <w:b/>
                <w:sz w:val="24"/>
                <w:szCs w:val="24"/>
                <w:u w:val="single"/>
              </w:rPr>
              <w:t>INITIALS</w:t>
            </w:r>
          </w:p>
        </w:tc>
      </w:tr>
      <w:tr w:rsidR="005A25E3" w14:paraId="61FC87BB" w14:textId="77777777" w:rsidTr="00395D3C">
        <w:tc>
          <w:tcPr>
            <w:tcW w:w="450" w:type="dxa"/>
          </w:tcPr>
          <w:p w14:paraId="549229AD" w14:textId="77777777" w:rsidR="005A25E3" w:rsidRDefault="005A25E3" w:rsidP="00975726"/>
        </w:tc>
        <w:tc>
          <w:tcPr>
            <w:tcW w:w="8534" w:type="dxa"/>
          </w:tcPr>
          <w:p w14:paraId="0655ABEA" w14:textId="77777777" w:rsidR="000412B7" w:rsidRPr="003E285F" w:rsidRDefault="005A25E3" w:rsidP="005A25E3">
            <w:pPr>
              <w:jc w:val="both"/>
              <w:rPr>
                <w:rFonts w:cs="Times New Roman"/>
              </w:rPr>
            </w:pPr>
            <w:r w:rsidRPr="00236736">
              <w:rPr>
                <w:rFonts w:cs="Times New Roman"/>
                <w:b/>
              </w:rPr>
              <w:t xml:space="preserve">Arrears or Default: </w:t>
            </w:r>
            <w:r w:rsidRPr="00236736">
              <w:rPr>
                <w:rFonts w:cs="Times New Roman"/>
              </w:rPr>
              <w:t>In the event of late payments or non-payment the lender can exercise their right to recover their funds through the process of foreclosure or power of sale. If such proceedings are started you could be responsible for any costs such as legal costs, maintenance costs, or administrative costs that the lender incurs in addition to the outstanding balance owed plus accrued interest, discharge and processing fees</w:t>
            </w:r>
            <w:r w:rsidR="00855E28">
              <w:rPr>
                <w:rFonts w:cs="Times New Roman"/>
              </w:rPr>
              <w:t>,</w:t>
            </w:r>
            <w:r w:rsidRPr="00236736">
              <w:rPr>
                <w:rFonts w:cs="Times New Roman"/>
              </w:rPr>
              <w:t xml:space="preserve"> and prepayment penalties. </w:t>
            </w:r>
          </w:p>
        </w:tc>
        <w:tc>
          <w:tcPr>
            <w:tcW w:w="1906" w:type="dxa"/>
          </w:tcPr>
          <w:p w14:paraId="1FB0F039" w14:textId="77777777" w:rsidR="005A25E3" w:rsidRDefault="005A25E3" w:rsidP="00975726"/>
        </w:tc>
      </w:tr>
      <w:tr w:rsidR="005A25E3" w14:paraId="3821999D" w14:textId="77777777" w:rsidTr="00395D3C">
        <w:tc>
          <w:tcPr>
            <w:tcW w:w="450" w:type="dxa"/>
          </w:tcPr>
          <w:p w14:paraId="2FF006A6" w14:textId="77777777" w:rsidR="005A25E3" w:rsidRDefault="005A25E3" w:rsidP="00975726"/>
        </w:tc>
        <w:tc>
          <w:tcPr>
            <w:tcW w:w="8534" w:type="dxa"/>
          </w:tcPr>
          <w:p w14:paraId="263BCF7F" w14:textId="77777777" w:rsidR="005A25E3" w:rsidRDefault="005A25E3" w:rsidP="00855E28">
            <w:pPr>
              <w:jc w:val="both"/>
              <w:rPr>
                <w:rFonts w:cs="Times New Roman"/>
              </w:rPr>
            </w:pPr>
            <w:r w:rsidRPr="00236736">
              <w:rPr>
                <w:rFonts w:cs="Times New Roman"/>
                <w:b/>
              </w:rPr>
              <w:t xml:space="preserve">Prepayment Penalties: </w:t>
            </w:r>
            <w:r w:rsidRPr="00236736">
              <w:rPr>
                <w:rFonts w:cs="Times New Roman"/>
              </w:rPr>
              <w:t xml:space="preserve">If the mortgage is paid out prior to the maturity date a penalty </w:t>
            </w:r>
            <w:r w:rsidR="00855E28">
              <w:rPr>
                <w:rFonts w:cs="Times New Roman"/>
              </w:rPr>
              <w:t>may be</w:t>
            </w:r>
            <w:r w:rsidRPr="00236736">
              <w:rPr>
                <w:rFonts w:cs="Times New Roman"/>
              </w:rPr>
              <w:t xml:space="preserve"> applicable. The amount of the penalty can be based on a calculation or either (a) an Interest Rate Differential (IRD); (b) three (3) months </w:t>
            </w:r>
            <w:r w:rsidR="00855E28">
              <w:rPr>
                <w:rFonts w:cs="Times New Roman"/>
              </w:rPr>
              <w:t xml:space="preserve">of </w:t>
            </w:r>
            <w:r w:rsidRPr="00236736">
              <w:rPr>
                <w:rFonts w:cs="Times New Roman"/>
              </w:rPr>
              <w:t xml:space="preserve">interest; (c) a set percentage of the outstanding balance (d) a set dollar amount or administrative fee. It is highly recommended that the lender always be contacted prior to early payout to determine the amount. It is also important to understand that prepayment penalties are subject to change and can be impacted by various factors for example changes in current rates, the number of months till maturity, the balance, and/or </w:t>
            </w:r>
            <w:r w:rsidR="00855E28">
              <w:rPr>
                <w:rFonts w:cs="Times New Roman"/>
              </w:rPr>
              <w:t xml:space="preserve">the </w:t>
            </w:r>
            <w:r w:rsidRPr="00236736">
              <w:rPr>
                <w:rFonts w:cs="Times New Roman"/>
              </w:rPr>
              <w:t>rate of the equivalent remaining term to name a few.</w:t>
            </w:r>
          </w:p>
          <w:p w14:paraId="5F93EFA9" w14:textId="77777777" w:rsidR="000412B7" w:rsidRPr="00236736" w:rsidRDefault="000412B7" w:rsidP="00855E28">
            <w:pPr>
              <w:jc w:val="both"/>
              <w:rPr>
                <w:rFonts w:cs="Times New Roman"/>
                <w:b/>
              </w:rPr>
            </w:pPr>
          </w:p>
        </w:tc>
        <w:tc>
          <w:tcPr>
            <w:tcW w:w="1906" w:type="dxa"/>
          </w:tcPr>
          <w:p w14:paraId="495E0CE5" w14:textId="77777777" w:rsidR="005A25E3" w:rsidRDefault="005A25E3" w:rsidP="00975726"/>
        </w:tc>
      </w:tr>
      <w:tr w:rsidR="002C5F3F" w14:paraId="01DB479D" w14:textId="77777777" w:rsidTr="00395D3C">
        <w:trPr>
          <w:trHeight w:val="1627"/>
        </w:trPr>
        <w:tc>
          <w:tcPr>
            <w:tcW w:w="450" w:type="dxa"/>
          </w:tcPr>
          <w:p w14:paraId="7C0EEF80" w14:textId="77777777" w:rsidR="002C5F3F" w:rsidRDefault="002C5F3F"/>
        </w:tc>
        <w:tc>
          <w:tcPr>
            <w:tcW w:w="8534" w:type="dxa"/>
          </w:tcPr>
          <w:p w14:paraId="64070F0A" w14:textId="77777777" w:rsidR="000412B7" w:rsidRPr="000412B7" w:rsidRDefault="00222BEE" w:rsidP="00855E28">
            <w:pPr>
              <w:jc w:val="both"/>
              <w:rPr>
                <w:rFonts w:cs="Times New Roman"/>
              </w:rPr>
            </w:pPr>
            <w:r w:rsidRPr="00236736">
              <w:rPr>
                <w:rFonts w:cs="Times New Roman"/>
                <w:b/>
              </w:rPr>
              <w:t xml:space="preserve">Extended Amortization: </w:t>
            </w:r>
            <w:r w:rsidRPr="00236736">
              <w:rPr>
                <w:rFonts w:cs="Times New Roman"/>
              </w:rPr>
              <w:t xml:space="preserve">The mortgage being recommended has an extended amortization of 30 years. If you do not reduce this amortization period on renewal of the mortgage, you will pay substantially more in interest over the lifetime of this mortgage than you would on a mortgage with a </w:t>
            </w:r>
            <w:r w:rsidR="00855E28">
              <w:rPr>
                <w:rFonts w:cs="Times New Roman"/>
              </w:rPr>
              <w:t>25-year</w:t>
            </w:r>
            <w:r w:rsidRPr="00236736">
              <w:rPr>
                <w:rFonts w:cs="Times New Roman"/>
              </w:rPr>
              <w:t xml:space="preserve"> amortization. If you decide to keep the extended amortization over the life of this mortgage and do not make any additional prepayments, you will pay significantly more than you would have on a mortgage with a </w:t>
            </w:r>
            <w:r w:rsidR="00855E28">
              <w:rPr>
                <w:rFonts w:cs="Times New Roman"/>
              </w:rPr>
              <w:t>25-year</w:t>
            </w:r>
            <w:r w:rsidRPr="00236736">
              <w:rPr>
                <w:rFonts w:cs="Times New Roman"/>
              </w:rPr>
              <w:t xml:space="preserve"> amortization.</w:t>
            </w:r>
          </w:p>
        </w:tc>
        <w:tc>
          <w:tcPr>
            <w:tcW w:w="1906" w:type="dxa"/>
          </w:tcPr>
          <w:p w14:paraId="7DD8D11D" w14:textId="77777777" w:rsidR="002C5F3F" w:rsidRDefault="002C5F3F"/>
        </w:tc>
      </w:tr>
      <w:tr w:rsidR="002C5F3F" w14:paraId="54AEC985" w14:textId="77777777" w:rsidTr="00395D3C">
        <w:tc>
          <w:tcPr>
            <w:tcW w:w="450" w:type="dxa"/>
          </w:tcPr>
          <w:p w14:paraId="54571219" w14:textId="77777777" w:rsidR="002C5F3F" w:rsidRDefault="002C5F3F"/>
        </w:tc>
        <w:tc>
          <w:tcPr>
            <w:tcW w:w="8534" w:type="dxa"/>
          </w:tcPr>
          <w:p w14:paraId="2B5E2E8A" w14:textId="77777777" w:rsidR="00975726" w:rsidRPr="00236736" w:rsidRDefault="00222BEE" w:rsidP="00855E28">
            <w:pPr>
              <w:jc w:val="both"/>
            </w:pPr>
            <w:r w:rsidRPr="00236736">
              <w:rPr>
                <w:rFonts w:cs="Times New Roman"/>
                <w:b/>
              </w:rPr>
              <w:t>Shortened Amortization:</w:t>
            </w:r>
            <w:r w:rsidR="00975726" w:rsidRPr="00236736">
              <w:rPr>
                <w:rFonts w:cs="Times New Roman"/>
                <w:b/>
              </w:rPr>
              <w:t xml:space="preserve"> </w:t>
            </w:r>
            <w:r w:rsidRPr="00236736">
              <w:rPr>
                <w:rFonts w:cs="Times New Roman"/>
              </w:rPr>
              <w:t>The mortgage being recommended has an amortization period less than that for which you qualify. While this will decrease the amount of interest that you pay the lender over the life of this mortgage, you may be at risk of financial hardship due to the impact of a higher mortgage payment on your cash flow. If your financial situation changes during the term of this mortgage and you are unable to meet your payment obligations you may not be able to decrease your mortgage payment</w:t>
            </w:r>
            <w:r w:rsidRPr="00236736">
              <w:rPr>
                <w:rFonts w:cs="Times New Roman"/>
                <w:b/>
              </w:rPr>
              <w:t xml:space="preserve"> </w:t>
            </w:r>
            <w:r w:rsidRPr="00236736">
              <w:rPr>
                <w:rFonts w:cs="Times New Roman"/>
              </w:rPr>
              <w:t xml:space="preserve">without refinancing this mortgage, which may </w:t>
            </w:r>
            <w:r w:rsidR="00855E28">
              <w:rPr>
                <w:rFonts w:cs="Times New Roman"/>
              </w:rPr>
              <w:t>result</w:t>
            </w:r>
            <w:r w:rsidRPr="00236736">
              <w:rPr>
                <w:rFonts w:cs="Times New Roman"/>
              </w:rPr>
              <w:t xml:space="preserve"> in additional </w:t>
            </w:r>
            <w:r w:rsidR="00855E28">
              <w:rPr>
                <w:rFonts w:cs="Times New Roman"/>
              </w:rPr>
              <w:t>costs</w:t>
            </w:r>
            <w:r w:rsidRPr="00236736">
              <w:rPr>
                <w:rFonts w:cs="Times New Roman"/>
              </w:rPr>
              <w:t xml:space="preserve"> to you such as prepayment penalties, legal fees and/or other cost associated with refinancing.</w:t>
            </w:r>
          </w:p>
        </w:tc>
        <w:tc>
          <w:tcPr>
            <w:tcW w:w="1906" w:type="dxa"/>
          </w:tcPr>
          <w:p w14:paraId="572C2C5D" w14:textId="77777777" w:rsidR="002C5F3F" w:rsidRDefault="002C5F3F"/>
        </w:tc>
      </w:tr>
      <w:tr w:rsidR="002C5F3F" w14:paraId="43D00144" w14:textId="77777777" w:rsidTr="00395D3C">
        <w:trPr>
          <w:trHeight w:val="1101"/>
        </w:trPr>
        <w:tc>
          <w:tcPr>
            <w:tcW w:w="450" w:type="dxa"/>
          </w:tcPr>
          <w:p w14:paraId="5075D612" w14:textId="77777777" w:rsidR="002C5F3F" w:rsidRDefault="002C5F3F"/>
        </w:tc>
        <w:tc>
          <w:tcPr>
            <w:tcW w:w="8534" w:type="dxa"/>
          </w:tcPr>
          <w:p w14:paraId="53A259D0" w14:textId="77777777" w:rsidR="00975726" w:rsidRDefault="00AE50B7" w:rsidP="00975726">
            <w:pPr>
              <w:jc w:val="both"/>
              <w:rPr>
                <w:rFonts w:cs="Times New Roman"/>
              </w:rPr>
            </w:pPr>
            <w:r w:rsidRPr="00236736">
              <w:rPr>
                <w:rFonts w:cs="Times New Roman"/>
                <w:b/>
              </w:rPr>
              <w:t xml:space="preserve">High TDS Ratio: </w:t>
            </w:r>
            <w:r w:rsidRPr="00236736">
              <w:rPr>
                <w:rFonts w:cs="Times New Roman"/>
              </w:rPr>
              <w:t>The mortgage being recommended allows you to have a higher total debt service ratio than typically allowed in the mortgage industry. By having a high total debt service ratio you may be at risk of financial hardship due to a reduced amount of cash flow and /or disposable income than you would have had if you had taken a mortgage with lower payments and /or if you had fewer monthly obligations.</w:t>
            </w:r>
          </w:p>
          <w:p w14:paraId="165C6246" w14:textId="77777777" w:rsidR="000412B7" w:rsidRPr="00236736" w:rsidRDefault="000412B7" w:rsidP="00975726">
            <w:pPr>
              <w:jc w:val="both"/>
              <w:rPr>
                <w:rFonts w:cs="Times New Roman"/>
              </w:rPr>
            </w:pPr>
          </w:p>
        </w:tc>
        <w:tc>
          <w:tcPr>
            <w:tcW w:w="1906" w:type="dxa"/>
          </w:tcPr>
          <w:p w14:paraId="7132C582" w14:textId="77777777" w:rsidR="002C5F3F" w:rsidRDefault="002C5F3F"/>
        </w:tc>
      </w:tr>
      <w:tr w:rsidR="002C5F3F" w14:paraId="71E9FCED" w14:textId="77777777" w:rsidTr="00395D3C">
        <w:tc>
          <w:tcPr>
            <w:tcW w:w="450" w:type="dxa"/>
          </w:tcPr>
          <w:p w14:paraId="1DCD5D0E" w14:textId="77777777" w:rsidR="002C5F3F" w:rsidRDefault="002C5F3F"/>
        </w:tc>
        <w:tc>
          <w:tcPr>
            <w:tcW w:w="8534" w:type="dxa"/>
          </w:tcPr>
          <w:p w14:paraId="6A77A345" w14:textId="77777777" w:rsidR="00975726" w:rsidRPr="00236736" w:rsidRDefault="00AE50B7" w:rsidP="00855E28">
            <w:pPr>
              <w:jc w:val="both"/>
              <w:rPr>
                <w:rFonts w:cs="Times New Roman"/>
              </w:rPr>
            </w:pPr>
            <w:r w:rsidRPr="00236736">
              <w:rPr>
                <w:rFonts w:cs="Times New Roman"/>
                <w:b/>
              </w:rPr>
              <w:t>Interest</w:t>
            </w:r>
            <w:r w:rsidR="00855E28">
              <w:rPr>
                <w:rFonts w:cs="Times New Roman"/>
                <w:b/>
              </w:rPr>
              <w:t>-</w:t>
            </w:r>
            <w:r w:rsidRPr="00236736">
              <w:rPr>
                <w:rFonts w:cs="Times New Roman"/>
                <w:b/>
              </w:rPr>
              <w:t>Only Mortgage:</w:t>
            </w:r>
            <w:r w:rsidR="00975726" w:rsidRPr="00236736">
              <w:rPr>
                <w:rFonts w:cs="Times New Roman"/>
                <w:b/>
              </w:rPr>
              <w:t xml:space="preserve"> </w:t>
            </w:r>
            <w:r w:rsidR="00123406" w:rsidRPr="00236736">
              <w:rPr>
                <w:rFonts w:cs="Times New Roman"/>
              </w:rPr>
              <w:t>The m</w:t>
            </w:r>
            <w:r w:rsidRPr="00236736">
              <w:rPr>
                <w:rFonts w:cs="Times New Roman"/>
              </w:rPr>
              <w:t xml:space="preserve">ortgage being recommended is an </w:t>
            </w:r>
            <w:r w:rsidR="00855E28">
              <w:rPr>
                <w:rFonts w:cs="Times New Roman"/>
              </w:rPr>
              <w:t>interest-only</w:t>
            </w:r>
            <w:r w:rsidRPr="00236736">
              <w:rPr>
                <w:rFonts w:cs="Times New Roman"/>
              </w:rPr>
              <w:t xml:space="preserve"> mortgage. This means that you will not be reducing the amount of your outstanding principal during the term of this mortgage, resulting in the same amount owing at the end of the term as was borrowed at the beginning of the term. By not reducing the principal outstanding, you may be at risk of having less equity in your property than you would have had if you had taken an amortized mortgage if the value of your property remains the same or decreases.</w:t>
            </w:r>
          </w:p>
        </w:tc>
        <w:tc>
          <w:tcPr>
            <w:tcW w:w="1906" w:type="dxa"/>
          </w:tcPr>
          <w:p w14:paraId="0ABF8F52" w14:textId="77777777" w:rsidR="002C5F3F" w:rsidRDefault="002C5F3F"/>
        </w:tc>
      </w:tr>
      <w:tr w:rsidR="00F01DD1" w14:paraId="18F16978" w14:textId="77777777" w:rsidTr="00395D3C">
        <w:tc>
          <w:tcPr>
            <w:tcW w:w="450" w:type="dxa"/>
            <w:tcBorders>
              <w:bottom w:val="single" w:sz="4" w:space="0" w:color="auto"/>
            </w:tcBorders>
          </w:tcPr>
          <w:p w14:paraId="3898FC85" w14:textId="77777777" w:rsidR="00F01DD1" w:rsidRDefault="00F01DD1"/>
        </w:tc>
        <w:tc>
          <w:tcPr>
            <w:tcW w:w="8534" w:type="dxa"/>
            <w:tcBorders>
              <w:bottom w:val="single" w:sz="4" w:space="0" w:color="auto"/>
            </w:tcBorders>
          </w:tcPr>
          <w:p w14:paraId="601C4DDC" w14:textId="77777777" w:rsidR="009B4EDB" w:rsidRPr="003E285F" w:rsidRDefault="00855E28" w:rsidP="00855E28">
            <w:pPr>
              <w:jc w:val="both"/>
              <w:rPr>
                <w:rFonts w:cs="Times New Roman"/>
              </w:rPr>
            </w:pPr>
            <w:r>
              <w:rPr>
                <w:rFonts w:cs="Times New Roman"/>
                <w:b/>
              </w:rPr>
              <w:t>Interest-Only</w:t>
            </w:r>
            <w:r w:rsidR="00F01DD1" w:rsidRPr="00236736">
              <w:rPr>
                <w:rFonts w:cs="Times New Roman"/>
                <w:b/>
              </w:rPr>
              <w:t xml:space="preserve"> Line of Credit: </w:t>
            </w:r>
            <w:r w:rsidR="00F01DD1" w:rsidRPr="00236736">
              <w:rPr>
                <w:rFonts w:cs="Times New Roman"/>
              </w:rPr>
              <w:t xml:space="preserve">The product being recommended is an </w:t>
            </w:r>
            <w:r>
              <w:rPr>
                <w:rFonts w:cs="Times New Roman"/>
              </w:rPr>
              <w:t>interest-only</w:t>
            </w:r>
            <w:r w:rsidR="00F01DD1" w:rsidRPr="00236736">
              <w:rPr>
                <w:rFonts w:cs="Times New Roman"/>
              </w:rPr>
              <w:t xml:space="preserve"> line of credit. This means that the minimum payment due monthly is the interest only, as such you will not be reducing the amount of your outstanding principal if only the minimum payments </w:t>
            </w:r>
            <w:r>
              <w:rPr>
                <w:rFonts w:cs="Times New Roman"/>
              </w:rPr>
              <w:t>are</w:t>
            </w:r>
            <w:r w:rsidR="00F01DD1" w:rsidRPr="00236736">
              <w:rPr>
                <w:rFonts w:cs="Times New Roman"/>
              </w:rPr>
              <w:t xml:space="preserve"> made. By not reducing the principal outstanding, you may be at risk of having less equity in your property than you would have had if you had taken an amortized mortgage if the value of your property remains the same or decreases. This may not be the case if you have or add a</w:t>
            </w:r>
            <w:r w:rsidR="003E285F">
              <w:rPr>
                <w:rFonts w:cs="Times New Roman"/>
              </w:rPr>
              <w:t xml:space="preserve"> fixed</w:t>
            </w:r>
            <w:r w:rsidR="00F01DD1" w:rsidRPr="00236736">
              <w:rPr>
                <w:rFonts w:cs="Times New Roman"/>
              </w:rPr>
              <w:t xml:space="preserve"> portion on some or all of the outstanding balances.</w:t>
            </w:r>
          </w:p>
        </w:tc>
        <w:tc>
          <w:tcPr>
            <w:tcW w:w="1906" w:type="dxa"/>
            <w:tcBorders>
              <w:bottom w:val="single" w:sz="4" w:space="0" w:color="auto"/>
            </w:tcBorders>
          </w:tcPr>
          <w:p w14:paraId="38E3DF11" w14:textId="77777777" w:rsidR="00F01DD1" w:rsidRDefault="00F01DD1"/>
        </w:tc>
      </w:tr>
      <w:tr w:rsidR="005A25E3" w:rsidRPr="00C8080A" w14:paraId="298A705C" w14:textId="77777777" w:rsidTr="009B4EDB">
        <w:trPr>
          <w:trHeight w:val="710"/>
        </w:trPr>
        <w:tc>
          <w:tcPr>
            <w:tcW w:w="10890" w:type="dxa"/>
            <w:gridSpan w:val="3"/>
            <w:tcBorders>
              <w:bottom w:val="single" w:sz="4" w:space="0" w:color="auto"/>
            </w:tcBorders>
          </w:tcPr>
          <w:p w14:paraId="0067CF5A" w14:textId="77777777" w:rsidR="00855E28" w:rsidRPr="005A25E3" w:rsidRDefault="005A25E3" w:rsidP="0055007C">
            <w:pPr>
              <w:rPr>
                <w:rFonts w:ascii="Wingdings" w:hAnsi="Wingdings" w:cs="Wingdings"/>
                <w:color w:val="FF0000"/>
                <w:sz w:val="64"/>
                <w:szCs w:val="64"/>
                <w:lang w:val="en-CA"/>
              </w:rPr>
            </w:pPr>
            <w:r w:rsidRPr="0053627A">
              <w:rPr>
                <w:b/>
                <w:i/>
              </w:rPr>
              <w:t>INITIALS:</w:t>
            </w:r>
            <w:r>
              <w:rPr>
                <w:b/>
                <w:i/>
              </w:rPr>
              <w:t xml:space="preserve">                    </w:t>
            </w:r>
            <w:r w:rsidRPr="00A82548">
              <w:rPr>
                <w:rFonts w:ascii="Wingdings" w:hAnsi="Wingdings" w:cs="Wingdings"/>
                <w:color w:val="FF0000"/>
                <w:sz w:val="64"/>
                <w:szCs w:val="64"/>
                <w:lang w:val="en-CA"/>
              </w:rPr>
              <w:t></w:t>
            </w:r>
            <w:r>
              <w:rPr>
                <w:rFonts w:ascii="Wingdings" w:hAnsi="Wingdings" w:cs="Wingdings"/>
                <w:color w:val="FF0000"/>
                <w:sz w:val="64"/>
                <w:szCs w:val="64"/>
                <w:lang w:val="en-CA"/>
              </w:rPr>
              <w:t></w:t>
            </w:r>
            <w:r>
              <w:rPr>
                <w:rFonts w:ascii="Wingdings" w:hAnsi="Wingdings" w:cs="Wingdings"/>
                <w:color w:val="FF0000"/>
                <w:sz w:val="64"/>
                <w:szCs w:val="64"/>
                <w:lang w:val="en-CA"/>
              </w:rPr>
              <w:t></w:t>
            </w:r>
            <w:r w:rsidRPr="00A82548">
              <w:rPr>
                <w:rFonts w:ascii="Wingdings" w:hAnsi="Wingdings" w:cs="Wingdings"/>
                <w:color w:val="FF0000"/>
                <w:sz w:val="64"/>
                <w:szCs w:val="64"/>
                <w:lang w:val="en-CA"/>
              </w:rPr>
              <w:t></w:t>
            </w:r>
            <w:r w:rsidR="000412B7">
              <w:rPr>
                <w:rFonts w:ascii="Wingdings" w:hAnsi="Wingdings" w:cs="Wingdings"/>
                <w:color w:val="FF0000"/>
                <w:sz w:val="64"/>
                <w:szCs w:val="64"/>
                <w:lang w:val="en-CA"/>
              </w:rPr>
              <w:t></w:t>
            </w:r>
            <w:r w:rsidR="000412B7">
              <w:rPr>
                <w:rFonts w:ascii="Wingdings" w:hAnsi="Wingdings" w:cs="Wingdings"/>
                <w:color w:val="FF0000"/>
                <w:sz w:val="64"/>
                <w:szCs w:val="64"/>
                <w:lang w:val="en-CA"/>
              </w:rPr>
              <w:t></w:t>
            </w:r>
            <w:r w:rsidR="000412B7" w:rsidRPr="00A82548">
              <w:rPr>
                <w:rFonts w:ascii="Wingdings" w:hAnsi="Wingdings" w:cs="Wingdings"/>
                <w:color w:val="FF0000"/>
                <w:sz w:val="64"/>
                <w:szCs w:val="64"/>
                <w:lang w:val="en-CA"/>
              </w:rPr>
              <w:t></w:t>
            </w:r>
            <w:r w:rsidR="000412B7">
              <w:rPr>
                <w:rFonts w:ascii="Wingdings" w:hAnsi="Wingdings" w:cs="Wingdings"/>
                <w:color w:val="FF0000"/>
                <w:sz w:val="64"/>
                <w:szCs w:val="64"/>
                <w:lang w:val="en-CA"/>
              </w:rPr>
              <w:t></w:t>
            </w:r>
            <w:r w:rsidR="000412B7">
              <w:rPr>
                <w:rFonts w:ascii="Wingdings" w:hAnsi="Wingdings" w:cs="Wingdings"/>
                <w:color w:val="FF0000"/>
                <w:sz w:val="64"/>
                <w:szCs w:val="64"/>
                <w:lang w:val="en-CA"/>
              </w:rPr>
              <w:t></w:t>
            </w:r>
            <w:r w:rsidR="000412B7" w:rsidRPr="00A82548">
              <w:rPr>
                <w:rFonts w:ascii="Wingdings" w:hAnsi="Wingdings" w:cs="Wingdings"/>
                <w:color w:val="FF0000"/>
                <w:sz w:val="64"/>
                <w:szCs w:val="64"/>
                <w:lang w:val="en-CA"/>
              </w:rPr>
              <w:t></w:t>
            </w:r>
            <w:r>
              <w:rPr>
                <w:rFonts w:ascii="Wingdings" w:hAnsi="Wingdings" w:cs="Wingdings"/>
                <w:color w:val="FF0000"/>
                <w:sz w:val="64"/>
                <w:szCs w:val="64"/>
                <w:lang w:val="en-CA"/>
              </w:rPr>
              <w:t></w:t>
            </w:r>
          </w:p>
        </w:tc>
      </w:tr>
      <w:tr w:rsidR="009B4EDB" w14:paraId="17197593" w14:textId="77777777" w:rsidTr="00395D3C">
        <w:tc>
          <w:tcPr>
            <w:tcW w:w="450" w:type="dxa"/>
          </w:tcPr>
          <w:p w14:paraId="3F0549E6" w14:textId="77777777" w:rsidR="009B4EDB" w:rsidRDefault="009B4EDB"/>
        </w:tc>
        <w:tc>
          <w:tcPr>
            <w:tcW w:w="8534" w:type="dxa"/>
          </w:tcPr>
          <w:p w14:paraId="48F0C190" w14:textId="77777777" w:rsidR="009B4EDB" w:rsidRPr="003E285F" w:rsidRDefault="009B4EDB" w:rsidP="003E285F">
            <w:pPr>
              <w:jc w:val="both"/>
              <w:rPr>
                <w:rFonts w:cs="Times New Roman"/>
              </w:rPr>
            </w:pPr>
            <w:r>
              <w:rPr>
                <w:rFonts w:cs="Times New Roman"/>
                <w:b/>
              </w:rPr>
              <w:t>Line of Credit with a Fixed Rate Portion</w:t>
            </w:r>
            <w:r w:rsidR="00C37714">
              <w:rPr>
                <w:rFonts w:cs="Times New Roman"/>
                <w:b/>
              </w:rPr>
              <w:t>(s)</w:t>
            </w:r>
            <w:r>
              <w:rPr>
                <w:rFonts w:cs="Times New Roman"/>
                <w:b/>
              </w:rPr>
              <w:t xml:space="preserve">: </w:t>
            </w:r>
            <w:r w:rsidR="00C37714" w:rsidRPr="00236736">
              <w:rPr>
                <w:rFonts w:cs="Times New Roman"/>
              </w:rPr>
              <w:t xml:space="preserve">The product being recommended </w:t>
            </w:r>
            <w:r w:rsidR="00C37714">
              <w:rPr>
                <w:rFonts w:cs="Times New Roman"/>
              </w:rPr>
              <w:t xml:space="preserve">consists of </w:t>
            </w:r>
            <w:r w:rsidR="00C37714" w:rsidRPr="00236736">
              <w:rPr>
                <w:rFonts w:cs="Times New Roman"/>
              </w:rPr>
              <w:t xml:space="preserve">an </w:t>
            </w:r>
            <w:r w:rsidR="00C37714">
              <w:rPr>
                <w:rFonts w:cs="Times New Roman"/>
              </w:rPr>
              <w:t>interest-only</w:t>
            </w:r>
            <w:r w:rsidR="00C37714" w:rsidRPr="00236736">
              <w:rPr>
                <w:rFonts w:cs="Times New Roman"/>
              </w:rPr>
              <w:t xml:space="preserve"> line of credit</w:t>
            </w:r>
            <w:r w:rsidR="00C37714">
              <w:rPr>
                <w:rFonts w:cs="Times New Roman"/>
              </w:rPr>
              <w:t xml:space="preserve"> with at least one</w:t>
            </w:r>
            <w:r w:rsidR="00C37714" w:rsidRPr="00236736">
              <w:rPr>
                <w:rFonts w:cs="Times New Roman"/>
              </w:rPr>
              <w:t xml:space="preserve"> </w:t>
            </w:r>
            <w:r w:rsidR="00C37714">
              <w:rPr>
                <w:rFonts w:cs="Times New Roman"/>
              </w:rPr>
              <w:t xml:space="preserve">fixed portion (sometimes called a sub account or a locked-in portion) that operates like a standard mortgage product. Depending on the product and loan to value the available credit on the line of credit could increase by paying down the principal on the fixed portion(s). The payment on the fixed portion(s) have an amortized payment which means you have a committed payment of principal and interest which would typically be more than the interest only payment if funded were not in a fixed portion, as such this can affect your cash flows. The minimum payment of the line of credit portion (sometimes called a revolving portion) is interest only based on the outstanding balance calculated daily and charged monthly. By paying interest only you will not be reducing the balance owing. </w:t>
            </w:r>
            <w:r w:rsidR="00C37714" w:rsidRPr="00236736">
              <w:rPr>
                <w:rFonts w:cs="Times New Roman"/>
              </w:rPr>
              <w:t xml:space="preserve">By not reducing the principal outstanding, you may be at risk of having less equity in your property than you would have had if you had taken an amortized mortgage if the value of your property remains the same or decreases. This may not be the case if you have or add a </w:t>
            </w:r>
            <w:r w:rsidR="003E285F">
              <w:rPr>
                <w:rFonts w:cs="Times New Roman"/>
              </w:rPr>
              <w:t>fixed</w:t>
            </w:r>
            <w:r w:rsidR="00C37714" w:rsidRPr="00236736">
              <w:rPr>
                <w:rFonts w:cs="Times New Roman"/>
              </w:rPr>
              <w:t xml:space="preserve"> portion on some or all of the outstanding balances.</w:t>
            </w:r>
          </w:p>
        </w:tc>
        <w:tc>
          <w:tcPr>
            <w:tcW w:w="1906" w:type="dxa"/>
          </w:tcPr>
          <w:p w14:paraId="573E9651" w14:textId="77777777" w:rsidR="009B4EDB" w:rsidRDefault="009B4EDB"/>
        </w:tc>
      </w:tr>
      <w:tr w:rsidR="005A25E3" w14:paraId="2F7A5D2C" w14:textId="77777777" w:rsidTr="00395D3C">
        <w:tc>
          <w:tcPr>
            <w:tcW w:w="450" w:type="dxa"/>
          </w:tcPr>
          <w:p w14:paraId="46C03B34" w14:textId="77777777" w:rsidR="005A25E3" w:rsidRDefault="005A25E3"/>
        </w:tc>
        <w:tc>
          <w:tcPr>
            <w:tcW w:w="8534" w:type="dxa"/>
          </w:tcPr>
          <w:p w14:paraId="57AC1993" w14:textId="77777777" w:rsidR="005A25E3" w:rsidRPr="00855E28" w:rsidRDefault="005A25E3" w:rsidP="00855E28">
            <w:pPr>
              <w:rPr>
                <w:b/>
              </w:rPr>
            </w:pPr>
            <w:r w:rsidRPr="00855E28">
              <w:rPr>
                <w:b/>
              </w:rPr>
              <w:t xml:space="preserve">Private Mortgage: </w:t>
            </w:r>
            <w:r w:rsidRPr="00855E28">
              <w:t xml:space="preserve">There a risks to a borrower that can be associated with private mortgages which can include but not be limited to (1) the lender may be primarily focused with the property as a qualifying factor with only secondary consideration to the borrower’s finance situation (2) rates that are high due to the high risk the lender assumes which could results in higher payments affecting the borrower’s cash flow (3) additional costs such as lender and broker fees, administrative, processing and/or additional legal fees (4) changes in the lender(s) financial position and/or risk tolerance can prompt early redemption of the mortgage funds (5) private lenders can initiate power of sale or foreclosure quicker than institutional lenders in the event of arrears or default (6) most private lenders only offer shorter term financing (a year or two) after which if the borrower cannot obtain institutional financing may have to stay indefinitely in short term, higher rate private mortgages (7) many private mortgages are interest only (see Interest Only Mortgage section herein) which will result in no repayment of principal over the term of the mortgage. While these risks are the most typical risks associated with private </w:t>
            </w:r>
            <w:r w:rsidR="00855E28" w:rsidRPr="00855E28">
              <w:t>mortgages</w:t>
            </w:r>
            <w:r w:rsidRPr="00855E28">
              <w:t xml:space="preserve"> there could be additional risks based on the specifics of the lender and their term. It </w:t>
            </w:r>
            <w:r w:rsidR="00855E28" w:rsidRPr="00855E28">
              <w:t>is always recommended</w:t>
            </w:r>
            <w:r w:rsidRPr="00855E28">
              <w:t xml:space="preserve"> that the borrower consult their legal representative to determine if any additional risks are present.</w:t>
            </w:r>
          </w:p>
        </w:tc>
        <w:tc>
          <w:tcPr>
            <w:tcW w:w="1906" w:type="dxa"/>
          </w:tcPr>
          <w:p w14:paraId="005DF486" w14:textId="77777777" w:rsidR="005A25E3" w:rsidRDefault="005A25E3"/>
        </w:tc>
      </w:tr>
      <w:tr w:rsidR="00295C50" w14:paraId="04F1DC91" w14:textId="77777777" w:rsidTr="00395D3C">
        <w:trPr>
          <w:trHeight w:val="1419"/>
        </w:trPr>
        <w:tc>
          <w:tcPr>
            <w:tcW w:w="450" w:type="dxa"/>
          </w:tcPr>
          <w:p w14:paraId="04552613" w14:textId="77777777" w:rsidR="00295C50" w:rsidRDefault="00295C50" w:rsidP="00EB6020"/>
        </w:tc>
        <w:tc>
          <w:tcPr>
            <w:tcW w:w="8534" w:type="dxa"/>
          </w:tcPr>
          <w:p w14:paraId="51A25488" w14:textId="77777777" w:rsidR="000412B7" w:rsidRPr="00CE0572" w:rsidRDefault="00295C50" w:rsidP="00CE0572">
            <w:pPr>
              <w:jc w:val="both"/>
              <w:rPr>
                <w:rFonts w:cs="Times New Roman"/>
              </w:rPr>
            </w:pPr>
            <w:r w:rsidRPr="00855E28">
              <w:rPr>
                <w:rFonts w:cs="Times New Roman"/>
                <w:b/>
              </w:rPr>
              <w:t xml:space="preserve">Cash Back Option: </w:t>
            </w:r>
            <w:r w:rsidRPr="00855E28">
              <w:rPr>
                <w:rFonts w:cs="Times New Roman"/>
              </w:rPr>
              <w:t>The mortgage being recommended has a cash back option which provides you with a lump sum of cash on closing. This option may put you at risk of having to repay some or this entire amount if you repay</w:t>
            </w:r>
            <w:r w:rsidR="00CE0572">
              <w:rPr>
                <w:rFonts w:cs="Times New Roman"/>
              </w:rPr>
              <w:t>, refinance or transfer</w:t>
            </w:r>
            <w:r w:rsidRPr="00855E28">
              <w:rPr>
                <w:rFonts w:cs="Times New Roman"/>
              </w:rPr>
              <w:t xml:space="preserve"> this mortgage </w:t>
            </w:r>
            <w:r w:rsidR="00CE0572">
              <w:rPr>
                <w:rFonts w:cs="Times New Roman"/>
              </w:rPr>
              <w:t>prior to</w:t>
            </w:r>
            <w:r w:rsidRPr="00855E28">
              <w:rPr>
                <w:rFonts w:cs="Times New Roman"/>
              </w:rPr>
              <w:t xml:space="preserve"> the end of the term.</w:t>
            </w:r>
            <w:r w:rsidR="00CE0572">
              <w:rPr>
                <w:rFonts w:cs="Times New Roman"/>
              </w:rPr>
              <w:t xml:space="preserve"> Additionally, the interest rate for a mortgage with a cash back feature may be higher than that of a mortgage without it which would increase your payments and interest cost.</w:t>
            </w:r>
          </w:p>
        </w:tc>
        <w:tc>
          <w:tcPr>
            <w:tcW w:w="1906" w:type="dxa"/>
          </w:tcPr>
          <w:p w14:paraId="5B91D6FF" w14:textId="77777777" w:rsidR="00295C50" w:rsidRDefault="00295C50" w:rsidP="00EB6020"/>
        </w:tc>
      </w:tr>
      <w:tr w:rsidR="009B4EDB" w14:paraId="4E2F1FAC" w14:textId="77777777" w:rsidTr="00395D3C">
        <w:trPr>
          <w:trHeight w:val="1479"/>
        </w:trPr>
        <w:tc>
          <w:tcPr>
            <w:tcW w:w="450" w:type="dxa"/>
          </w:tcPr>
          <w:p w14:paraId="4DA757AE" w14:textId="77777777" w:rsidR="009B4EDB" w:rsidRDefault="009B4EDB" w:rsidP="00610712"/>
        </w:tc>
        <w:tc>
          <w:tcPr>
            <w:tcW w:w="8534" w:type="dxa"/>
          </w:tcPr>
          <w:p w14:paraId="27DB801C" w14:textId="77777777" w:rsidR="000412B7" w:rsidRPr="000412B7" w:rsidRDefault="009B4EDB" w:rsidP="00610712">
            <w:pPr>
              <w:jc w:val="both"/>
              <w:rPr>
                <w:rFonts w:cs="Times New Roman"/>
              </w:rPr>
            </w:pPr>
            <w:r w:rsidRPr="00236736">
              <w:rPr>
                <w:rFonts w:cs="Times New Roman"/>
                <w:b/>
              </w:rPr>
              <w:t xml:space="preserve">B20 Non-Complaint Approval: </w:t>
            </w:r>
            <w:r w:rsidRPr="00236736">
              <w:rPr>
                <w:rFonts w:cs="Times New Roman"/>
              </w:rPr>
              <w:t>The mortgage being recommended is qualified based on criteria that are not compliant with B-20 federal guidelines; as such there are limited lenders that will underwrite mortgages under the non-compliant rules. This can result in limited or no options to refinance or transfer this mortgage to other lenders at a future time.</w:t>
            </w:r>
          </w:p>
        </w:tc>
        <w:tc>
          <w:tcPr>
            <w:tcW w:w="1906" w:type="dxa"/>
          </w:tcPr>
          <w:p w14:paraId="2ACE7A1B" w14:textId="77777777" w:rsidR="009B4EDB" w:rsidRDefault="009B4EDB" w:rsidP="00610712"/>
        </w:tc>
      </w:tr>
      <w:tr w:rsidR="00F01DD1" w14:paraId="02F75CB0" w14:textId="77777777" w:rsidTr="00395D3C">
        <w:trPr>
          <w:trHeight w:val="1527"/>
        </w:trPr>
        <w:tc>
          <w:tcPr>
            <w:tcW w:w="450" w:type="dxa"/>
          </w:tcPr>
          <w:p w14:paraId="00DED65D" w14:textId="77777777" w:rsidR="00F01DD1" w:rsidRDefault="00F01DD1" w:rsidP="00F01DD1"/>
        </w:tc>
        <w:tc>
          <w:tcPr>
            <w:tcW w:w="8534" w:type="dxa"/>
          </w:tcPr>
          <w:p w14:paraId="7FD26F32" w14:textId="77777777" w:rsidR="00F01DD1" w:rsidRPr="00855E28" w:rsidRDefault="00F01DD1" w:rsidP="00F01DD1">
            <w:pPr>
              <w:jc w:val="both"/>
            </w:pPr>
            <w:r w:rsidRPr="00855E28">
              <w:rPr>
                <w:rFonts w:cs="Times New Roman"/>
                <w:b/>
              </w:rPr>
              <w:t xml:space="preserve">Accelerated Mortgage Payment: </w:t>
            </w:r>
            <w:r w:rsidRPr="00855E28">
              <w:rPr>
                <w:rFonts w:cs="Times New Roman"/>
              </w:rPr>
              <w:t>The mortgage being recommended has an accelerated mortgage payment, which is a payment that is higher than that of a non-accelerated mortgage payment. This may put you at risk of financial hardship due to a reduced amount of cash flow and/or disposable income than you would have had if you had taken a mortgage with lower payments.</w:t>
            </w:r>
          </w:p>
        </w:tc>
        <w:tc>
          <w:tcPr>
            <w:tcW w:w="1906" w:type="dxa"/>
          </w:tcPr>
          <w:p w14:paraId="4700C0F5" w14:textId="77777777" w:rsidR="00F01DD1" w:rsidRDefault="00F01DD1" w:rsidP="00F01DD1"/>
        </w:tc>
      </w:tr>
      <w:tr w:rsidR="003E285F" w14:paraId="6F7B9BA3" w14:textId="77777777" w:rsidTr="00395D3C">
        <w:tc>
          <w:tcPr>
            <w:tcW w:w="450" w:type="dxa"/>
          </w:tcPr>
          <w:p w14:paraId="66AB6BB4" w14:textId="77777777" w:rsidR="003E285F" w:rsidRDefault="003E285F" w:rsidP="0057162F"/>
        </w:tc>
        <w:tc>
          <w:tcPr>
            <w:tcW w:w="8534" w:type="dxa"/>
          </w:tcPr>
          <w:p w14:paraId="594FD932" w14:textId="77777777" w:rsidR="003E285F" w:rsidRPr="00855E28" w:rsidRDefault="003E285F" w:rsidP="0057162F">
            <w:pPr>
              <w:jc w:val="both"/>
              <w:rPr>
                <w:rFonts w:cs="Times New Roman"/>
                <w:b/>
              </w:rPr>
            </w:pPr>
            <w:r w:rsidRPr="00855E28">
              <w:rPr>
                <w:rFonts w:cs="Times New Roman"/>
                <w:b/>
              </w:rPr>
              <w:t xml:space="preserve">Collateral Charge: </w:t>
            </w:r>
            <w:r w:rsidRPr="00167E3D">
              <w:rPr>
                <w:rFonts w:cs="Times New Roman"/>
              </w:rPr>
              <w:t>The mortgage being recommended is registered as a collateral charge. Unlike a standard (conventional) charge, a collateral charge can be registered for an amount equal to or greater than the financing amount being approved/advanced. Therefore, in the future you could borrow more money through a mortgage, line of credit, credit card, or loan without additional legal &amp; registration costs, however a default on any of those could constitute a default on the mortgage. This could limit the amount of additional financing you can get from the same or other lenders and/or could affect the rate that you may get and/or have additional costs if switching to a different lender.</w:t>
            </w:r>
          </w:p>
        </w:tc>
        <w:tc>
          <w:tcPr>
            <w:tcW w:w="1906" w:type="dxa"/>
          </w:tcPr>
          <w:p w14:paraId="674C26DB" w14:textId="77777777" w:rsidR="003E285F" w:rsidRDefault="003E285F" w:rsidP="0057162F"/>
        </w:tc>
      </w:tr>
      <w:tr w:rsidR="009B4EDB" w:rsidRPr="00C8080A" w14:paraId="34BE5734" w14:textId="77777777" w:rsidTr="00610712">
        <w:trPr>
          <w:trHeight w:val="710"/>
        </w:trPr>
        <w:tc>
          <w:tcPr>
            <w:tcW w:w="10890" w:type="dxa"/>
            <w:gridSpan w:val="3"/>
          </w:tcPr>
          <w:p w14:paraId="740EB49F" w14:textId="77777777" w:rsidR="009B4EDB" w:rsidRDefault="009B4EDB" w:rsidP="00610712">
            <w:pPr>
              <w:rPr>
                <w:b/>
                <w:i/>
              </w:rPr>
            </w:pPr>
          </w:p>
          <w:p w14:paraId="73343411" w14:textId="77777777" w:rsidR="009B4EDB" w:rsidRPr="005A25E3" w:rsidRDefault="009B4EDB" w:rsidP="00395D3C">
            <w:pPr>
              <w:tabs>
                <w:tab w:val="left" w:pos="9924"/>
              </w:tabs>
              <w:rPr>
                <w:rFonts w:ascii="Wingdings" w:hAnsi="Wingdings" w:cs="Wingdings"/>
                <w:color w:val="FF0000"/>
                <w:sz w:val="64"/>
                <w:szCs w:val="64"/>
                <w:lang w:val="en-CA"/>
              </w:rPr>
            </w:pPr>
            <w:r w:rsidRPr="0053627A">
              <w:rPr>
                <w:b/>
                <w:i/>
              </w:rPr>
              <w:t>INITIALS:</w:t>
            </w:r>
            <w:r>
              <w:rPr>
                <w:b/>
                <w:i/>
              </w:rPr>
              <w:t xml:space="preserve">                    </w:t>
            </w:r>
            <w:r w:rsidRPr="00A82548">
              <w:rPr>
                <w:rFonts w:ascii="Wingdings" w:hAnsi="Wingdings" w:cs="Wingdings"/>
                <w:color w:val="FF0000"/>
                <w:sz w:val="64"/>
                <w:szCs w:val="64"/>
                <w:lang w:val="en-CA"/>
              </w:rPr>
              <w:t></w:t>
            </w:r>
            <w:r>
              <w:rPr>
                <w:rFonts w:ascii="Wingdings" w:hAnsi="Wingdings" w:cs="Wingdings"/>
                <w:color w:val="FF0000"/>
                <w:sz w:val="64"/>
                <w:szCs w:val="64"/>
                <w:lang w:val="en-CA"/>
              </w:rPr>
              <w:t></w:t>
            </w:r>
            <w:r>
              <w:rPr>
                <w:rFonts w:ascii="Wingdings" w:hAnsi="Wingdings" w:cs="Wingdings"/>
                <w:color w:val="FF0000"/>
                <w:sz w:val="64"/>
                <w:szCs w:val="64"/>
                <w:lang w:val="en-CA"/>
              </w:rPr>
              <w:t></w:t>
            </w:r>
            <w:r w:rsidRPr="00A82548">
              <w:rPr>
                <w:rFonts w:ascii="Wingdings" w:hAnsi="Wingdings" w:cs="Wingdings"/>
                <w:color w:val="FF0000"/>
                <w:sz w:val="64"/>
                <w:szCs w:val="64"/>
                <w:lang w:val="en-CA"/>
              </w:rPr>
              <w:t></w:t>
            </w:r>
            <w:r>
              <w:rPr>
                <w:rFonts w:ascii="Wingdings" w:hAnsi="Wingdings" w:cs="Wingdings"/>
                <w:color w:val="FF0000"/>
                <w:sz w:val="64"/>
                <w:szCs w:val="64"/>
                <w:lang w:val="en-CA"/>
              </w:rPr>
              <w:t></w:t>
            </w:r>
            <w:r w:rsidR="000412B7">
              <w:rPr>
                <w:rFonts w:ascii="Wingdings" w:hAnsi="Wingdings" w:cs="Wingdings"/>
                <w:color w:val="FF0000"/>
                <w:sz w:val="64"/>
                <w:szCs w:val="64"/>
                <w:lang w:val="en-CA"/>
              </w:rPr>
              <w:t></w:t>
            </w:r>
            <w:r w:rsidR="000412B7" w:rsidRPr="00A82548">
              <w:rPr>
                <w:rFonts w:ascii="Wingdings" w:hAnsi="Wingdings" w:cs="Wingdings"/>
                <w:color w:val="FF0000"/>
                <w:sz w:val="64"/>
                <w:szCs w:val="64"/>
                <w:lang w:val="en-CA"/>
              </w:rPr>
              <w:t></w:t>
            </w:r>
            <w:r w:rsidR="000412B7">
              <w:rPr>
                <w:rFonts w:ascii="Wingdings" w:hAnsi="Wingdings" w:cs="Wingdings"/>
                <w:color w:val="FF0000"/>
                <w:sz w:val="64"/>
                <w:szCs w:val="64"/>
                <w:lang w:val="en-CA"/>
              </w:rPr>
              <w:t></w:t>
            </w:r>
            <w:r w:rsidR="000412B7">
              <w:rPr>
                <w:rFonts w:ascii="Wingdings" w:hAnsi="Wingdings" w:cs="Wingdings"/>
                <w:color w:val="FF0000"/>
                <w:sz w:val="64"/>
                <w:szCs w:val="64"/>
                <w:lang w:val="en-CA"/>
              </w:rPr>
              <w:t></w:t>
            </w:r>
            <w:r w:rsidR="000412B7" w:rsidRPr="00A82548">
              <w:rPr>
                <w:rFonts w:ascii="Wingdings" w:hAnsi="Wingdings" w:cs="Wingdings"/>
                <w:color w:val="FF0000"/>
                <w:sz w:val="64"/>
                <w:szCs w:val="64"/>
                <w:lang w:val="en-CA"/>
              </w:rPr>
              <w:t></w:t>
            </w:r>
            <w:r w:rsidR="00395D3C">
              <w:rPr>
                <w:rFonts w:ascii="Wingdings" w:hAnsi="Wingdings" w:cs="Wingdings"/>
                <w:color w:val="FF0000"/>
                <w:sz w:val="64"/>
                <w:szCs w:val="64"/>
                <w:lang w:val="en-CA"/>
              </w:rPr>
              <w:tab/>
            </w:r>
          </w:p>
        </w:tc>
      </w:tr>
      <w:tr w:rsidR="003E285F" w14:paraId="73D6B91B" w14:textId="77777777" w:rsidTr="00395D3C">
        <w:tc>
          <w:tcPr>
            <w:tcW w:w="450" w:type="dxa"/>
          </w:tcPr>
          <w:p w14:paraId="05243671" w14:textId="77777777" w:rsidR="003E285F" w:rsidRDefault="003E285F" w:rsidP="0057162F"/>
        </w:tc>
        <w:tc>
          <w:tcPr>
            <w:tcW w:w="8534" w:type="dxa"/>
          </w:tcPr>
          <w:p w14:paraId="59494AA4" w14:textId="77777777" w:rsidR="003E285F" w:rsidRPr="00855E28" w:rsidRDefault="003E285F" w:rsidP="0057162F">
            <w:pPr>
              <w:jc w:val="both"/>
            </w:pPr>
            <w:r w:rsidRPr="00855E28">
              <w:rPr>
                <w:rFonts w:cs="Times New Roman"/>
                <w:b/>
              </w:rPr>
              <w:t xml:space="preserve">Variable Rate Mortgage: </w:t>
            </w:r>
            <w:r w:rsidRPr="00855E28">
              <w:rPr>
                <w:rFonts w:cs="Times New Roman"/>
              </w:rPr>
              <w:t>The mortgage being recommended is a variable rate mortgage. This type of mortgage is one where changes in the lender’s prime rate will change the amount from your payment that goes towards interest and principal while keeping the payment static. There are risks to this type of mortgage including the possibility of the interest rate rising without notice, based on market conditions. To prevent the possibility of negative amortization, an increase in the interest rate may require you to increase the amount of your periodic payment when the rate approaches the lender’s trigger rate; reduce the total amount of the loan then owing by making a lump sum payment sufficient to reduce such total amount to a point below the designated amount; or convert the mortgage to a fixed rate mortgage having equal monthly payments. If you are unable to take any of these actions then the mortgage, at the lender’s option, may immediately become due and payable. You can convert to a fixed mortgage based on the lender’s policy which in most cases is the greater of 3 years or the remaining term of the mortgage.</w:t>
            </w:r>
          </w:p>
        </w:tc>
        <w:tc>
          <w:tcPr>
            <w:tcW w:w="1906" w:type="dxa"/>
          </w:tcPr>
          <w:p w14:paraId="6BC15B41" w14:textId="77777777" w:rsidR="003E285F" w:rsidRDefault="003E285F" w:rsidP="0057162F"/>
        </w:tc>
      </w:tr>
      <w:tr w:rsidR="0055007C" w14:paraId="58C2C452" w14:textId="77777777" w:rsidTr="00395D3C">
        <w:tc>
          <w:tcPr>
            <w:tcW w:w="450" w:type="dxa"/>
          </w:tcPr>
          <w:p w14:paraId="0F88419D" w14:textId="77777777" w:rsidR="0055007C" w:rsidRDefault="0055007C" w:rsidP="00123406"/>
        </w:tc>
        <w:tc>
          <w:tcPr>
            <w:tcW w:w="8534" w:type="dxa"/>
          </w:tcPr>
          <w:p w14:paraId="7949E0CD" w14:textId="77777777" w:rsidR="00855E28" w:rsidRPr="009B4EDB" w:rsidRDefault="0055007C" w:rsidP="00AD754D">
            <w:pPr>
              <w:jc w:val="both"/>
              <w:rPr>
                <w:rFonts w:cs="Times New Roman"/>
              </w:rPr>
            </w:pPr>
            <w:r w:rsidRPr="00855E28">
              <w:rPr>
                <w:rFonts w:cs="Times New Roman"/>
                <w:b/>
              </w:rPr>
              <w:t xml:space="preserve">Adjustable Rate Mortgage: </w:t>
            </w:r>
            <w:r w:rsidRPr="00855E28">
              <w:rPr>
                <w:rFonts w:cs="Times New Roman"/>
              </w:rPr>
              <w:t xml:space="preserve">The mortgage being recommended is an adjustable rate mortgage. </w:t>
            </w:r>
            <w:r w:rsidR="00266B80" w:rsidRPr="00855E28">
              <w:rPr>
                <w:rFonts w:cs="Times New Roman"/>
              </w:rPr>
              <w:t xml:space="preserve">There are risks to this type of mortgage including the possibility of the interest rate rising without notice, based on market conditions. </w:t>
            </w:r>
            <w:r w:rsidRPr="00855E28">
              <w:rPr>
                <w:rFonts w:cs="Times New Roman"/>
              </w:rPr>
              <w:t xml:space="preserve">In cases of changes to the lender’s prime rate, your interest rate will change accordingly and so will your payment to ensure you are paying down your mortgage at the same pace based on the amortization at the start of the term. In an increasing rate situation, the increased payment can affect your cash flow and budgeting which </w:t>
            </w:r>
            <w:r w:rsidR="00266B80" w:rsidRPr="00855E28">
              <w:rPr>
                <w:rFonts w:cs="Times New Roman"/>
              </w:rPr>
              <w:t xml:space="preserve">could make </w:t>
            </w:r>
            <w:r w:rsidR="00236736" w:rsidRPr="00855E28">
              <w:rPr>
                <w:rFonts w:cs="Times New Roman"/>
              </w:rPr>
              <w:t xml:space="preserve">the </w:t>
            </w:r>
            <w:r w:rsidR="00266B80" w:rsidRPr="00855E28">
              <w:rPr>
                <w:rFonts w:cs="Times New Roman"/>
              </w:rPr>
              <w:t>affordability of your mortgage difficult. You can convert to a fixed mortgage based on the lender’s policy which in most cases is the greater of 3 years or the</w:t>
            </w:r>
            <w:r w:rsidR="00AD754D" w:rsidRPr="00855E28">
              <w:rPr>
                <w:rFonts w:cs="Times New Roman"/>
              </w:rPr>
              <w:t xml:space="preserve"> remaining term of the mortgage. Other options to maintain your payment could include reducing the total amount of the loan owing by making a lump sum payment sufficient to reduce such total amount to a point below the designated amount. If you are unable to take any of these actions then the mortgage, at the lender’s option, may immediately become due and payable.</w:t>
            </w:r>
          </w:p>
        </w:tc>
        <w:tc>
          <w:tcPr>
            <w:tcW w:w="1906" w:type="dxa"/>
          </w:tcPr>
          <w:p w14:paraId="2241FE3A" w14:textId="77777777" w:rsidR="0055007C" w:rsidRDefault="0055007C" w:rsidP="00123406"/>
        </w:tc>
      </w:tr>
      <w:tr w:rsidR="00677BA6" w14:paraId="098145EF" w14:textId="77777777" w:rsidTr="00395D3C">
        <w:tc>
          <w:tcPr>
            <w:tcW w:w="450" w:type="dxa"/>
          </w:tcPr>
          <w:p w14:paraId="42F2620B" w14:textId="77777777" w:rsidR="00677BA6" w:rsidRDefault="00677BA6" w:rsidP="00123406"/>
        </w:tc>
        <w:tc>
          <w:tcPr>
            <w:tcW w:w="8534" w:type="dxa"/>
          </w:tcPr>
          <w:p w14:paraId="67A81B2F" w14:textId="77777777" w:rsidR="00677BA6" w:rsidRPr="00855E28" w:rsidRDefault="00004EEE" w:rsidP="00236736">
            <w:pPr>
              <w:jc w:val="both"/>
              <w:rPr>
                <w:rFonts w:cs="Times New Roman"/>
              </w:rPr>
            </w:pPr>
            <w:r w:rsidRPr="00855E28">
              <w:rPr>
                <w:rFonts w:cs="Times New Roman"/>
                <w:b/>
              </w:rPr>
              <w:t>Bona-fide Sale:</w:t>
            </w:r>
            <w:r w:rsidR="00975726" w:rsidRPr="00855E28">
              <w:rPr>
                <w:rFonts w:cs="Times New Roman"/>
                <w:b/>
              </w:rPr>
              <w:t xml:space="preserve"> </w:t>
            </w:r>
            <w:r w:rsidRPr="00855E28">
              <w:rPr>
                <w:rFonts w:cs="Times New Roman"/>
              </w:rPr>
              <w:t>The mortgage being recommended is closed. This means that you can only repay the mortgage before the term expires if you sell your property. You cannot refinance the mortgage prior to the expiration of the term. This option may put you at risk of not being able to refinance this mortgage if interest rates decrease</w:t>
            </w:r>
            <w:r w:rsidR="00236736" w:rsidRPr="00855E28">
              <w:rPr>
                <w:rFonts w:cs="Times New Roman"/>
              </w:rPr>
              <w:t>,</w:t>
            </w:r>
            <w:r w:rsidRPr="00855E28">
              <w:rPr>
                <w:rFonts w:cs="Times New Roman"/>
              </w:rPr>
              <w:t xml:space="preserve"> if you wish to refinance your mortgage with another lender during the term, or if you need to repay this mortgage for any other reason other than </w:t>
            </w:r>
            <w:r w:rsidR="00256D87" w:rsidRPr="00855E28">
              <w:rPr>
                <w:rFonts w:cs="Times New Roman"/>
              </w:rPr>
              <w:t xml:space="preserve">the </w:t>
            </w:r>
            <w:r w:rsidRPr="00855E28">
              <w:rPr>
                <w:rFonts w:cs="Times New Roman"/>
              </w:rPr>
              <w:t>sale of the property during the term of this mortgage.</w:t>
            </w:r>
          </w:p>
        </w:tc>
        <w:tc>
          <w:tcPr>
            <w:tcW w:w="1906" w:type="dxa"/>
          </w:tcPr>
          <w:p w14:paraId="3727B616" w14:textId="77777777" w:rsidR="00677BA6" w:rsidRDefault="00677BA6" w:rsidP="00123406"/>
        </w:tc>
      </w:tr>
      <w:tr w:rsidR="00B83361" w14:paraId="7BDEF0EC" w14:textId="77777777" w:rsidTr="00395D3C">
        <w:tc>
          <w:tcPr>
            <w:tcW w:w="450" w:type="dxa"/>
          </w:tcPr>
          <w:p w14:paraId="3F64906E" w14:textId="77777777" w:rsidR="00B83361" w:rsidRDefault="00B83361" w:rsidP="00123406"/>
        </w:tc>
        <w:tc>
          <w:tcPr>
            <w:tcW w:w="8534" w:type="dxa"/>
          </w:tcPr>
          <w:p w14:paraId="1005A50E" w14:textId="77777777" w:rsidR="00B83361" w:rsidRPr="00855E28" w:rsidRDefault="00855E28" w:rsidP="00855E28">
            <w:pPr>
              <w:jc w:val="both"/>
              <w:rPr>
                <w:rFonts w:cs="Times New Roman"/>
                <w:b/>
              </w:rPr>
            </w:pPr>
            <w:r>
              <w:rPr>
                <w:rFonts w:cs="Times New Roman"/>
                <w:b/>
              </w:rPr>
              <w:t>Non-Portable</w:t>
            </w:r>
            <w:r w:rsidR="00B83361" w:rsidRPr="00855E28">
              <w:rPr>
                <w:rFonts w:cs="Times New Roman"/>
                <w:b/>
              </w:rPr>
              <w:t xml:space="preserve"> / </w:t>
            </w:r>
            <w:r>
              <w:rPr>
                <w:rFonts w:cs="Times New Roman"/>
                <w:b/>
              </w:rPr>
              <w:t>Non-Blendable</w:t>
            </w:r>
            <w:r w:rsidR="00B83361" w:rsidRPr="00855E28">
              <w:rPr>
                <w:rFonts w:cs="Times New Roman"/>
                <w:b/>
              </w:rPr>
              <w:t xml:space="preserve">: </w:t>
            </w:r>
            <w:r w:rsidR="00B83361" w:rsidRPr="00855E28">
              <w:rPr>
                <w:rFonts w:cs="Times New Roman"/>
              </w:rPr>
              <w:t>The mortgage being recommended does not have portability and/or rate blending options. This means that if the current property is sold, the mortgage cannot be ported to another property and can only be paid out which will incur pre-payment penalties. In many cases variable rate mortgages are not portable; however</w:t>
            </w:r>
            <w:r w:rsidR="00236736" w:rsidRPr="00855E28">
              <w:rPr>
                <w:rFonts w:cs="Times New Roman"/>
              </w:rPr>
              <w:t>,</w:t>
            </w:r>
            <w:r w:rsidR="00B83361" w:rsidRPr="00855E28">
              <w:rPr>
                <w:rFonts w:cs="Times New Roman"/>
              </w:rPr>
              <w:t xml:space="preserve"> there are some fixed mortgage products </w:t>
            </w:r>
            <w:r w:rsidR="00236736" w:rsidRPr="00855E28">
              <w:rPr>
                <w:rFonts w:cs="Times New Roman"/>
              </w:rPr>
              <w:t>that</w:t>
            </w:r>
            <w:r w:rsidR="00B83361" w:rsidRPr="00855E28">
              <w:rPr>
                <w:rFonts w:cs="Times New Roman"/>
              </w:rPr>
              <w:t xml:space="preserve"> do not have a portability feature. </w:t>
            </w:r>
          </w:p>
        </w:tc>
        <w:tc>
          <w:tcPr>
            <w:tcW w:w="1906" w:type="dxa"/>
          </w:tcPr>
          <w:p w14:paraId="4399BC70" w14:textId="77777777" w:rsidR="00B83361" w:rsidRDefault="00B83361" w:rsidP="00123406"/>
        </w:tc>
      </w:tr>
      <w:tr w:rsidR="009B4EDB" w14:paraId="60551B80" w14:textId="77777777" w:rsidTr="00395D3C">
        <w:tc>
          <w:tcPr>
            <w:tcW w:w="450" w:type="dxa"/>
          </w:tcPr>
          <w:p w14:paraId="32CD7E94" w14:textId="77777777" w:rsidR="009B4EDB" w:rsidRDefault="009B4EDB" w:rsidP="00123406"/>
        </w:tc>
        <w:tc>
          <w:tcPr>
            <w:tcW w:w="8534" w:type="dxa"/>
          </w:tcPr>
          <w:p w14:paraId="107DBC86" w14:textId="77777777" w:rsidR="009B4EDB" w:rsidRDefault="009B4EDB" w:rsidP="00952683">
            <w:pPr>
              <w:jc w:val="both"/>
              <w:rPr>
                <w:rFonts w:cs="Times New Roman"/>
                <w:b/>
              </w:rPr>
            </w:pPr>
            <w:r>
              <w:rPr>
                <w:rFonts w:cs="Times New Roman"/>
                <w:b/>
              </w:rPr>
              <w:t>Property Tax</w:t>
            </w:r>
            <w:r w:rsidR="00B5593E">
              <w:rPr>
                <w:rFonts w:cs="Times New Roman"/>
                <w:b/>
              </w:rPr>
              <w:t xml:space="preserve"> Holdback:</w:t>
            </w:r>
            <w:r w:rsidR="003E285F">
              <w:rPr>
                <w:rFonts w:cs="Times New Roman"/>
                <w:b/>
              </w:rPr>
              <w:t xml:space="preserve"> </w:t>
            </w:r>
            <w:r w:rsidR="003E285F">
              <w:rPr>
                <w:rFonts w:cs="Times New Roman"/>
              </w:rPr>
              <w:t>The lender for the mortgage being recommended requires a holdback from the advance of funds as security to ensure there are no property tax arrears. As such, there could be a shortfall at closing that your will need to cover. The lender may, at their sole discretion, refund the hold back to your at a later date or apply it to the mortgage balance if not used to cover outstanding property taxes.</w:t>
            </w:r>
            <w:r w:rsidR="000412B7">
              <w:rPr>
                <w:rFonts w:cs="Times New Roman"/>
              </w:rPr>
              <w:t xml:space="preserve"> You are advised to budget for this to ensure adequate cash flow.</w:t>
            </w:r>
          </w:p>
        </w:tc>
        <w:tc>
          <w:tcPr>
            <w:tcW w:w="1906" w:type="dxa"/>
          </w:tcPr>
          <w:p w14:paraId="42B62278" w14:textId="77777777" w:rsidR="009B4EDB" w:rsidRDefault="009B4EDB" w:rsidP="00123406"/>
        </w:tc>
      </w:tr>
      <w:tr w:rsidR="00B5593E" w14:paraId="3635E92B" w14:textId="77777777" w:rsidTr="00395D3C">
        <w:tc>
          <w:tcPr>
            <w:tcW w:w="450" w:type="dxa"/>
          </w:tcPr>
          <w:p w14:paraId="3C0CE966" w14:textId="77777777" w:rsidR="00B5593E" w:rsidRDefault="00B5593E" w:rsidP="00123406"/>
        </w:tc>
        <w:tc>
          <w:tcPr>
            <w:tcW w:w="8534" w:type="dxa"/>
          </w:tcPr>
          <w:p w14:paraId="5662B71C" w14:textId="77777777" w:rsidR="00B5593E" w:rsidRPr="00952683" w:rsidRDefault="00B5593E" w:rsidP="00855E28">
            <w:pPr>
              <w:jc w:val="both"/>
              <w:rPr>
                <w:rFonts w:cs="Times New Roman"/>
              </w:rPr>
            </w:pPr>
            <w:r>
              <w:rPr>
                <w:rFonts w:cs="Times New Roman"/>
                <w:b/>
              </w:rPr>
              <w:t xml:space="preserve">Property Tax Installments: </w:t>
            </w:r>
            <w:r w:rsidR="00952683">
              <w:rPr>
                <w:rFonts w:cs="Times New Roman"/>
              </w:rPr>
              <w:t>The lender for the mortgage being recommend requires that they collect the property taxes to be remitted on the municipality. Some lenders will collect installments for a period of time from the advance of the mortgage funds till the end of the year to be used toward the next year’s installment payment. During that time you will be required to also make any property tax payments due until the lender starts remitting payments in the new year. The amount collected by the lender is not always 1/12</w:t>
            </w:r>
            <w:r w:rsidR="00952683" w:rsidRPr="00952683">
              <w:rPr>
                <w:rFonts w:cs="Times New Roman"/>
                <w:vertAlign w:val="superscript"/>
              </w:rPr>
              <w:t>th</w:t>
            </w:r>
            <w:r w:rsidR="00952683">
              <w:rPr>
                <w:rFonts w:cs="Times New Roman"/>
              </w:rPr>
              <w:t xml:space="preserve"> of the annual taxes, but maybe calculated on a formula based on then the mortgage started and when the next payment is due to the </w:t>
            </w:r>
            <w:r w:rsidR="000412B7">
              <w:rPr>
                <w:rFonts w:cs="Times New Roman"/>
              </w:rPr>
              <w:t>municipality. You are advised to budget for this to ensure adequate cash flow.</w:t>
            </w:r>
          </w:p>
        </w:tc>
        <w:tc>
          <w:tcPr>
            <w:tcW w:w="1906" w:type="dxa"/>
          </w:tcPr>
          <w:p w14:paraId="24178AD6" w14:textId="77777777" w:rsidR="00B5593E" w:rsidRDefault="00B5593E" w:rsidP="00123406"/>
        </w:tc>
      </w:tr>
      <w:tr w:rsidR="003E285F" w14:paraId="01B37B2A" w14:textId="77777777" w:rsidTr="00395D3C">
        <w:tc>
          <w:tcPr>
            <w:tcW w:w="450" w:type="dxa"/>
          </w:tcPr>
          <w:p w14:paraId="4D3EDDA7" w14:textId="77777777" w:rsidR="003E285F" w:rsidRDefault="003E285F" w:rsidP="0057162F"/>
        </w:tc>
        <w:tc>
          <w:tcPr>
            <w:tcW w:w="8534" w:type="dxa"/>
          </w:tcPr>
          <w:p w14:paraId="7FCA30FF" w14:textId="77777777" w:rsidR="003E285F" w:rsidRPr="00855E28" w:rsidRDefault="003E285F" w:rsidP="0057162F">
            <w:r w:rsidRPr="00855E28">
              <w:rPr>
                <w:b/>
              </w:rPr>
              <w:t xml:space="preserve">Non-Renewal At Maturity: </w:t>
            </w:r>
            <w:r w:rsidRPr="00855E28">
              <w:t>A risk on the mortgage being recommended is that on maturity the lender may choose not to offer a renewal. This is often in the cases of private mortgages; however can also result from missed or late payments or a change in the borrowers’ financial situation or credit. In the event of non-renewal, the mortgage will have to be paid out in full or transferred or refinanced with another lender which</w:t>
            </w:r>
            <w:r w:rsidR="000412B7">
              <w:t xml:space="preserve"> can result in additional fees.</w:t>
            </w:r>
          </w:p>
        </w:tc>
        <w:tc>
          <w:tcPr>
            <w:tcW w:w="1906" w:type="dxa"/>
          </w:tcPr>
          <w:p w14:paraId="0AC6A4F8" w14:textId="77777777" w:rsidR="003E285F" w:rsidRDefault="003E285F" w:rsidP="0057162F"/>
        </w:tc>
      </w:tr>
      <w:tr w:rsidR="000412B7" w:rsidRPr="00C8080A" w14:paraId="28E6B469" w14:textId="77777777" w:rsidTr="0057162F">
        <w:trPr>
          <w:trHeight w:val="710"/>
        </w:trPr>
        <w:tc>
          <w:tcPr>
            <w:tcW w:w="10890" w:type="dxa"/>
            <w:gridSpan w:val="3"/>
          </w:tcPr>
          <w:p w14:paraId="5D88AF28" w14:textId="77777777" w:rsidR="000412B7" w:rsidRDefault="000412B7" w:rsidP="0057162F">
            <w:pPr>
              <w:rPr>
                <w:b/>
                <w:i/>
              </w:rPr>
            </w:pPr>
          </w:p>
          <w:p w14:paraId="5FB47483" w14:textId="77777777" w:rsidR="000412B7" w:rsidRPr="005A25E3" w:rsidRDefault="000412B7" w:rsidP="0057162F">
            <w:pPr>
              <w:rPr>
                <w:rFonts w:ascii="Wingdings" w:hAnsi="Wingdings" w:cs="Wingdings"/>
                <w:color w:val="FF0000"/>
                <w:sz w:val="64"/>
                <w:szCs w:val="64"/>
                <w:lang w:val="en-CA"/>
              </w:rPr>
            </w:pPr>
            <w:r w:rsidRPr="0053627A">
              <w:rPr>
                <w:b/>
                <w:i/>
              </w:rPr>
              <w:t>INITIALS:</w:t>
            </w:r>
            <w:r>
              <w:rPr>
                <w:b/>
                <w:i/>
              </w:rPr>
              <w:t xml:space="preserve">                    </w:t>
            </w:r>
            <w:r w:rsidRPr="00A82548">
              <w:rPr>
                <w:rFonts w:ascii="Wingdings" w:hAnsi="Wingdings" w:cs="Wingdings"/>
                <w:color w:val="FF0000"/>
                <w:sz w:val="64"/>
                <w:szCs w:val="64"/>
                <w:lang w:val="en-CA"/>
              </w:rPr>
              <w:t></w:t>
            </w:r>
            <w:r>
              <w:rPr>
                <w:rFonts w:ascii="Wingdings" w:hAnsi="Wingdings" w:cs="Wingdings"/>
                <w:color w:val="FF0000"/>
                <w:sz w:val="64"/>
                <w:szCs w:val="64"/>
                <w:lang w:val="en-CA"/>
              </w:rPr>
              <w:t></w:t>
            </w:r>
            <w:r>
              <w:rPr>
                <w:rFonts w:ascii="Wingdings" w:hAnsi="Wingdings" w:cs="Wingdings"/>
                <w:color w:val="FF0000"/>
                <w:sz w:val="64"/>
                <w:szCs w:val="64"/>
                <w:lang w:val="en-CA"/>
              </w:rPr>
              <w:t></w:t>
            </w:r>
            <w:r w:rsidRPr="00A82548">
              <w:rPr>
                <w:rFonts w:ascii="Wingdings" w:hAnsi="Wingdings" w:cs="Wingdings"/>
                <w:color w:val="FF0000"/>
                <w:sz w:val="64"/>
                <w:szCs w:val="64"/>
                <w:lang w:val="en-CA"/>
              </w:rPr>
              <w:t></w:t>
            </w:r>
            <w:r>
              <w:rPr>
                <w:rFonts w:ascii="Wingdings" w:hAnsi="Wingdings" w:cs="Wingdings"/>
                <w:color w:val="FF0000"/>
                <w:sz w:val="64"/>
                <w:szCs w:val="64"/>
                <w:lang w:val="en-CA"/>
              </w:rPr>
              <w:t></w:t>
            </w:r>
            <w:r>
              <w:rPr>
                <w:rFonts w:ascii="Wingdings" w:hAnsi="Wingdings" w:cs="Wingdings"/>
                <w:color w:val="FF0000"/>
                <w:sz w:val="64"/>
                <w:szCs w:val="64"/>
                <w:lang w:val="en-CA"/>
              </w:rPr>
              <w:t></w:t>
            </w:r>
            <w:r w:rsidRPr="00A82548">
              <w:rPr>
                <w:rFonts w:ascii="Wingdings" w:hAnsi="Wingdings" w:cs="Wingdings"/>
                <w:color w:val="FF0000"/>
                <w:sz w:val="64"/>
                <w:szCs w:val="64"/>
                <w:lang w:val="en-CA"/>
              </w:rPr>
              <w:t></w:t>
            </w:r>
            <w:r>
              <w:rPr>
                <w:rFonts w:ascii="Wingdings" w:hAnsi="Wingdings" w:cs="Wingdings"/>
                <w:color w:val="FF0000"/>
                <w:sz w:val="64"/>
                <w:szCs w:val="64"/>
                <w:lang w:val="en-CA"/>
              </w:rPr>
              <w:t></w:t>
            </w:r>
            <w:r>
              <w:rPr>
                <w:rFonts w:ascii="Wingdings" w:hAnsi="Wingdings" w:cs="Wingdings"/>
                <w:color w:val="FF0000"/>
                <w:sz w:val="64"/>
                <w:szCs w:val="64"/>
                <w:lang w:val="en-CA"/>
              </w:rPr>
              <w:t></w:t>
            </w:r>
            <w:r w:rsidRPr="00A82548">
              <w:rPr>
                <w:rFonts w:ascii="Wingdings" w:hAnsi="Wingdings" w:cs="Wingdings"/>
                <w:color w:val="FF0000"/>
                <w:sz w:val="64"/>
                <w:szCs w:val="64"/>
                <w:lang w:val="en-CA"/>
              </w:rPr>
              <w:t></w:t>
            </w:r>
          </w:p>
        </w:tc>
      </w:tr>
      <w:tr w:rsidR="00CE0572" w14:paraId="036D48D3" w14:textId="77777777" w:rsidTr="00395D3C">
        <w:trPr>
          <w:trHeight w:val="1829"/>
        </w:trPr>
        <w:tc>
          <w:tcPr>
            <w:tcW w:w="450" w:type="dxa"/>
          </w:tcPr>
          <w:p w14:paraId="35A3EC6C" w14:textId="77777777" w:rsidR="00CE0572" w:rsidRDefault="00CE0572" w:rsidP="00FE5216"/>
        </w:tc>
        <w:tc>
          <w:tcPr>
            <w:tcW w:w="8534" w:type="dxa"/>
          </w:tcPr>
          <w:p w14:paraId="6CB1C1A0" w14:textId="77777777" w:rsidR="00CE0572" w:rsidRPr="00855E28" w:rsidRDefault="00CE0572" w:rsidP="00FE5216">
            <w:pPr>
              <w:rPr>
                <w:rFonts w:cs="Times New Roman"/>
              </w:rPr>
            </w:pPr>
            <w:r w:rsidRPr="00855E28">
              <w:rPr>
                <w:b/>
              </w:rPr>
              <w:t xml:space="preserve">Reverse Mortgage: </w:t>
            </w:r>
            <w:r w:rsidRPr="00855E28">
              <w:rPr>
                <w:rFonts w:cs="Times New Roman"/>
              </w:rPr>
              <w:t>The mortgage being recommended is a reverse mortgage. This means that you will not be reducing the amount of your outstanding principal or paying interest during the term of this mortgage, resulting in the interest owing being added to the final payout balance. By not reducing the principal outstanding &amp; having the interest accrued and added to the principal, you may be at risk of having less equity in your property than you would have had if you had taken an amortized mortgage even if the value of your property changes.</w:t>
            </w:r>
          </w:p>
        </w:tc>
        <w:tc>
          <w:tcPr>
            <w:tcW w:w="1906" w:type="dxa"/>
          </w:tcPr>
          <w:p w14:paraId="7A5E0185" w14:textId="77777777" w:rsidR="00CE0572" w:rsidRDefault="00CE0572" w:rsidP="00FE5216"/>
        </w:tc>
      </w:tr>
      <w:tr w:rsidR="003E285F" w14:paraId="006FB596" w14:textId="77777777" w:rsidTr="00395D3C">
        <w:trPr>
          <w:trHeight w:val="1529"/>
        </w:trPr>
        <w:tc>
          <w:tcPr>
            <w:tcW w:w="450" w:type="dxa"/>
          </w:tcPr>
          <w:p w14:paraId="128F83B9" w14:textId="77777777" w:rsidR="003E285F" w:rsidRDefault="003E285F" w:rsidP="0057162F"/>
        </w:tc>
        <w:tc>
          <w:tcPr>
            <w:tcW w:w="8534" w:type="dxa"/>
          </w:tcPr>
          <w:p w14:paraId="26BD051C" w14:textId="77777777" w:rsidR="003E285F" w:rsidRPr="00855E28" w:rsidRDefault="003E285F" w:rsidP="0057162F">
            <w:pPr>
              <w:rPr>
                <w:b/>
              </w:rPr>
            </w:pPr>
            <w:r w:rsidRPr="00855E28">
              <w:rPr>
                <w:b/>
              </w:rPr>
              <w:t xml:space="preserve">Existing Lender Consent: </w:t>
            </w:r>
            <w:r w:rsidRPr="00855E28">
              <w:t>Some lenders on title may require that their consent be granted for additional mortgages to be registered behind their charge. The homeowner is responsible to obtain such consent if necessary. Failure to do so may affect the existing mortgage and that of the new mortgage being registered.</w:t>
            </w:r>
            <w:r w:rsidR="00CE0572">
              <w:t xml:space="preserve"> If an existing lender refuses consent or triggers full repayment any mortgages on title, any and all cost will be yours. </w:t>
            </w:r>
          </w:p>
        </w:tc>
        <w:tc>
          <w:tcPr>
            <w:tcW w:w="1906" w:type="dxa"/>
          </w:tcPr>
          <w:p w14:paraId="3C79BFCA" w14:textId="77777777" w:rsidR="003E285F" w:rsidRDefault="003E285F" w:rsidP="0057162F"/>
          <w:p w14:paraId="25BF8033" w14:textId="77777777" w:rsidR="003E285F" w:rsidRDefault="003E285F" w:rsidP="0057162F"/>
          <w:p w14:paraId="3EA5F9DF" w14:textId="77777777" w:rsidR="003E285F" w:rsidRDefault="003E285F" w:rsidP="0057162F"/>
        </w:tc>
      </w:tr>
      <w:tr w:rsidR="00677BA6" w14:paraId="0F7997DC" w14:textId="77777777" w:rsidTr="00395D3C">
        <w:trPr>
          <w:trHeight w:val="1409"/>
        </w:trPr>
        <w:tc>
          <w:tcPr>
            <w:tcW w:w="450" w:type="dxa"/>
          </w:tcPr>
          <w:p w14:paraId="5895D93D" w14:textId="77777777" w:rsidR="00677BA6" w:rsidRDefault="00677BA6" w:rsidP="00123406"/>
        </w:tc>
        <w:tc>
          <w:tcPr>
            <w:tcW w:w="8534" w:type="dxa"/>
          </w:tcPr>
          <w:p w14:paraId="07BBD746" w14:textId="77777777" w:rsidR="00D90318" w:rsidRPr="00855E28" w:rsidRDefault="00004EEE" w:rsidP="00975726">
            <w:pPr>
              <w:jc w:val="both"/>
              <w:rPr>
                <w:rFonts w:cs="Times New Roman"/>
              </w:rPr>
            </w:pPr>
            <w:r w:rsidRPr="00855E28">
              <w:rPr>
                <w:rFonts w:cs="Times New Roman"/>
                <w:b/>
              </w:rPr>
              <w:t>Disbursement of Funds:</w:t>
            </w:r>
            <w:r w:rsidR="00975726" w:rsidRPr="00855E28">
              <w:rPr>
                <w:rFonts w:cs="Times New Roman"/>
                <w:b/>
              </w:rPr>
              <w:t xml:space="preserve"> </w:t>
            </w:r>
            <w:r w:rsidRPr="00855E28">
              <w:rPr>
                <w:rFonts w:cs="Times New Roman"/>
              </w:rPr>
              <w:t>The net proceeds from refinances, equity take-outs</w:t>
            </w:r>
            <w:r w:rsidR="00236736" w:rsidRPr="00855E28">
              <w:rPr>
                <w:rFonts w:cs="Times New Roman"/>
              </w:rPr>
              <w:t>,</w:t>
            </w:r>
            <w:r w:rsidRPr="00855E28">
              <w:rPr>
                <w:rFonts w:cs="Times New Roman"/>
              </w:rPr>
              <w:t xml:space="preserve"> and/ or private mortgages as approximated based on information available at the time of calculation. The borrower acknowledges that the final net proceeds are calculated by their lawyer and disclosed on the trust ledger or statement of adjustments and may vary from the amount calculated by the mortgage agent/ broker. </w:t>
            </w:r>
          </w:p>
        </w:tc>
        <w:tc>
          <w:tcPr>
            <w:tcW w:w="1906" w:type="dxa"/>
          </w:tcPr>
          <w:p w14:paraId="4C3E5CC4" w14:textId="77777777" w:rsidR="00677BA6" w:rsidRDefault="00677BA6" w:rsidP="00123406"/>
        </w:tc>
      </w:tr>
      <w:tr w:rsidR="00D90318" w14:paraId="545768BC" w14:textId="77777777" w:rsidTr="00395D3C">
        <w:trPr>
          <w:trHeight w:val="1275"/>
        </w:trPr>
        <w:tc>
          <w:tcPr>
            <w:tcW w:w="450" w:type="dxa"/>
          </w:tcPr>
          <w:p w14:paraId="46C37F6E" w14:textId="77777777" w:rsidR="00D90318" w:rsidRDefault="00D90318" w:rsidP="00123406"/>
        </w:tc>
        <w:tc>
          <w:tcPr>
            <w:tcW w:w="8534" w:type="dxa"/>
          </w:tcPr>
          <w:p w14:paraId="54FC74C1" w14:textId="77777777" w:rsidR="00D90318" w:rsidRPr="00855E28" w:rsidRDefault="00D90318" w:rsidP="00236736">
            <w:pPr>
              <w:jc w:val="both"/>
              <w:rPr>
                <w:rFonts w:cs="Times New Roman"/>
                <w:b/>
              </w:rPr>
            </w:pPr>
            <w:r w:rsidRPr="00855E28">
              <w:rPr>
                <w:rFonts w:cs="Times New Roman"/>
                <w:b/>
              </w:rPr>
              <w:t xml:space="preserve">Failure to abide by terms and conditions of the Standard Charge Terms: </w:t>
            </w:r>
            <w:r w:rsidR="00975726" w:rsidRPr="00855E28">
              <w:rPr>
                <w:rFonts w:cs="Times New Roman"/>
                <w:b/>
              </w:rPr>
              <w:t xml:space="preserve"> </w:t>
            </w:r>
            <w:r w:rsidRPr="00855E28">
              <w:rPr>
                <w:rFonts w:cs="Times New Roman"/>
              </w:rPr>
              <w:t xml:space="preserve">Every mortgage has terms and conditions which a borrower must abide by. You understand that this mortgage contains a set of standard Charge Terms that </w:t>
            </w:r>
            <w:r w:rsidR="00236736" w:rsidRPr="00855E28">
              <w:rPr>
                <w:rFonts w:cs="Times New Roman"/>
              </w:rPr>
              <w:t>govern</w:t>
            </w:r>
            <w:r w:rsidRPr="00855E28">
              <w:rPr>
                <w:rFonts w:cs="Times New Roman"/>
              </w:rPr>
              <w:t xml:space="preserve"> your rights and obligations under this mortgage contract. There is a risk to you if you fail to meet these obligations which may include penalties assessed by the lender or an action to remedy the contravention by the lender’s use of the power of sale process.</w:t>
            </w:r>
          </w:p>
        </w:tc>
        <w:tc>
          <w:tcPr>
            <w:tcW w:w="1906" w:type="dxa"/>
          </w:tcPr>
          <w:p w14:paraId="7417E920" w14:textId="77777777" w:rsidR="00D90318" w:rsidRDefault="00D90318" w:rsidP="00123406"/>
        </w:tc>
      </w:tr>
    </w:tbl>
    <w:p w14:paraId="3859D4BB" w14:textId="77777777" w:rsidR="000412B7" w:rsidRDefault="000412B7" w:rsidP="00855E28">
      <w:pPr>
        <w:spacing w:after="0" w:line="240" w:lineRule="auto"/>
        <w:ind w:left="-567"/>
        <w:jc w:val="both"/>
        <w:rPr>
          <w:rFonts w:cs="Times New Roman"/>
          <w:b/>
        </w:rPr>
      </w:pPr>
    </w:p>
    <w:p w14:paraId="6942DB01" w14:textId="77777777" w:rsidR="00416A54" w:rsidRPr="00855E28" w:rsidRDefault="00803B04" w:rsidP="00855E28">
      <w:pPr>
        <w:spacing w:after="0" w:line="240" w:lineRule="auto"/>
        <w:ind w:left="-567"/>
        <w:jc w:val="both"/>
        <w:rPr>
          <w:rFonts w:cs="Times New Roman"/>
          <w:b/>
        </w:rPr>
      </w:pPr>
      <w:r w:rsidRPr="00855E28">
        <w:rPr>
          <w:rFonts w:cs="Times New Roman"/>
          <w:b/>
        </w:rPr>
        <w:t>ADDITIONAL DISCLOSURES:</w:t>
      </w:r>
      <w:r w:rsidR="00855E28">
        <w:rPr>
          <w:rFonts w:cs="Times New Roman"/>
          <w:b/>
        </w:rPr>
        <w:t xml:space="preserve"> </w:t>
      </w:r>
      <w:r w:rsidR="005A25E3" w:rsidRPr="00855E28">
        <w:rPr>
          <w:rFonts w:cs="Times New Roman"/>
          <w:b/>
        </w:rPr>
        <w:t>The following in included as additional disclosures that may or not apply to the specific mortgage being arranged, however</w:t>
      </w:r>
      <w:r w:rsidR="00855E28" w:rsidRPr="00855E28">
        <w:rPr>
          <w:rFonts w:cs="Times New Roman"/>
          <w:b/>
        </w:rPr>
        <w:t>,</w:t>
      </w:r>
      <w:r w:rsidR="005A25E3" w:rsidRPr="00855E28">
        <w:rPr>
          <w:rFonts w:cs="Times New Roman"/>
          <w:b/>
        </w:rPr>
        <w:t xml:space="preserve"> it is prudent to disclose these to ensure that borrowers are aware in the event that it could apply to them </w:t>
      </w:r>
      <w:r w:rsidR="006528A4">
        <w:rPr>
          <w:rFonts w:cs="Times New Roman"/>
          <w:b/>
        </w:rPr>
        <w:t>in</w:t>
      </w:r>
      <w:r w:rsidR="005A25E3" w:rsidRPr="00855E28">
        <w:rPr>
          <w:rFonts w:cs="Times New Roman"/>
          <w:b/>
        </w:rPr>
        <w:t xml:space="preserve"> a future time.</w:t>
      </w:r>
      <w:r w:rsidR="005A25E3" w:rsidRPr="00855E28">
        <w:rPr>
          <w:rFonts w:cs="Times New Roman"/>
          <w:b/>
        </w:rPr>
        <w:tab/>
      </w:r>
      <w:r w:rsidR="005A25E3" w:rsidRPr="00855E28">
        <w:rPr>
          <w:rFonts w:cs="Times New Roman"/>
          <w:b/>
        </w:rPr>
        <w:tab/>
      </w:r>
      <w:r w:rsidR="005A25E3" w:rsidRPr="00855E28">
        <w:rPr>
          <w:rFonts w:cs="Times New Roman"/>
          <w:b/>
        </w:rPr>
        <w:br/>
      </w:r>
      <w:r w:rsidR="005A25E3">
        <w:rPr>
          <w:rFonts w:cs="Times New Roman"/>
          <w:b/>
        </w:rPr>
        <w:tab/>
      </w:r>
      <w:r w:rsidR="005A25E3">
        <w:rPr>
          <w:rFonts w:cs="Times New Roman"/>
          <w:b/>
        </w:rPr>
        <w:tab/>
      </w:r>
      <w:r w:rsidR="005A25E3">
        <w:rPr>
          <w:rFonts w:cs="Times New Roman"/>
          <w:b/>
        </w:rPr>
        <w:tab/>
      </w:r>
      <w:r w:rsidR="005A25E3">
        <w:rPr>
          <w:rFonts w:cs="Times New Roman"/>
          <w:b/>
        </w:rPr>
        <w:tab/>
      </w:r>
      <w:r w:rsidR="005A25E3">
        <w:rPr>
          <w:rFonts w:cs="Times New Roman"/>
          <w:b/>
        </w:rPr>
        <w:tab/>
      </w:r>
      <w:r w:rsidR="000412B7">
        <w:rPr>
          <w:rFonts w:cs="Times New Roman"/>
          <w:b/>
        </w:rPr>
        <w:tab/>
      </w:r>
      <w:r w:rsidR="000412B7">
        <w:rPr>
          <w:rFonts w:cs="Times New Roman"/>
          <w:b/>
        </w:rPr>
        <w:tab/>
      </w:r>
      <w:r w:rsidR="000412B7">
        <w:rPr>
          <w:rFonts w:cs="Times New Roman"/>
          <w:b/>
        </w:rPr>
        <w:tab/>
      </w:r>
      <w:r w:rsidR="000412B7">
        <w:rPr>
          <w:rFonts w:cs="Times New Roman"/>
          <w:b/>
        </w:rPr>
        <w:tab/>
      </w:r>
      <w:r w:rsidR="000412B7">
        <w:rPr>
          <w:rFonts w:cs="Times New Roman"/>
          <w:b/>
        </w:rPr>
        <w:tab/>
      </w:r>
      <w:r w:rsidR="000412B7">
        <w:rPr>
          <w:rFonts w:cs="Times New Roman"/>
          <w:b/>
        </w:rPr>
        <w:tab/>
      </w:r>
      <w:r w:rsidR="000412B7">
        <w:rPr>
          <w:rFonts w:cs="Times New Roman"/>
          <w:b/>
        </w:rPr>
        <w:tab/>
      </w:r>
      <w:r w:rsidR="00A82548">
        <w:rPr>
          <w:rFonts w:cs="Times New Roman"/>
          <w:b/>
        </w:rPr>
        <w:t>INITIALS</w:t>
      </w:r>
    </w:p>
    <w:tbl>
      <w:tblPr>
        <w:tblStyle w:val="TableGrid"/>
        <w:tblW w:w="10890" w:type="dxa"/>
        <w:tblInd w:w="-342" w:type="dxa"/>
        <w:tblLayout w:type="fixed"/>
        <w:tblLook w:val="04A0" w:firstRow="1" w:lastRow="0" w:firstColumn="1" w:lastColumn="0" w:noHBand="0" w:noVBand="1"/>
      </w:tblPr>
      <w:tblGrid>
        <w:gridCol w:w="6716"/>
        <w:gridCol w:w="4174"/>
      </w:tblGrid>
      <w:tr w:rsidR="00803B04" w14:paraId="28BFB6BF" w14:textId="77777777" w:rsidTr="000412B7">
        <w:tc>
          <w:tcPr>
            <w:tcW w:w="6716" w:type="dxa"/>
          </w:tcPr>
          <w:p w14:paraId="44D8A3BC" w14:textId="77777777" w:rsidR="00803B04" w:rsidRPr="00803B04" w:rsidRDefault="00803B04" w:rsidP="00F01DD1">
            <w:pPr>
              <w:jc w:val="both"/>
            </w:pPr>
            <w:r w:rsidRPr="00A306B8">
              <w:t>If my circumstances change prior to my closing, I may not qualify for the mortgage, even if the conditions of the mortgage have been met.</w:t>
            </w:r>
          </w:p>
        </w:tc>
        <w:tc>
          <w:tcPr>
            <w:tcW w:w="4174" w:type="dxa"/>
          </w:tcPr>
          <w:p w14:paraId="460E2C21" w14:textId="77777777" w:rsidR="00803B04" w:rsidRPr="00855E28" w:rsidRDefault="00A82548" w:rsidP="00ED55C4">
            <w:pPr>
              <w:rPr>
                <w:sz w:val="60"/>
                <w:szCs w:val="60"/>
              </w:rPr>
            </w:pPr>
            <w:r w:rsidRPr="00855E28">
              <w:rPr>
                <w:rFonts w:ascii="Wingdings" w:hAnsi="Wingdings" w:cs="Wingdings"/>
                <w:color w:val="FF0000"/>
                <w:sz w:val="60"/>
                <w:szCs w:val="60"/>
                <w:lang w:val="en-CA"/>
              </w:rPr>
              <w:t></w:t>
            </w:r>
            <w:r w:rsidR="00ED55C4" w:rsidRPr="00855E28">
              <w:rPr>
                <w:rFonts w:ascii="Wingdings" w:hAnsi="Wingdings" w:cs="Wingdings"/>
                <w:color w:val="FF0000"/>
                <w:sz w:val="60"/>
                <w:szCs w:val="60"/>
                <w:lang w:val="en-CA"/>
              </w:rPr>
              <w:t></w:t>
            </w:r>
            <w:r w:rsidRPr="00855E28">
              <w:rPr>
                <w:rFonts w:ascii="Wingdings" w:hAnsi="Wingdings" w:cs="Wingdings"/>
                <w:color w:val="FF0000"/>
                <w:sz w:val="60"/>
                <w:szCs w:val="60"/>
                <w:lang w:val="en-CA"/>
              </w:rPr>
              <w:t></w:t>
            </w:r>
            <w:r w:rsidR="000412B7">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p>
        </w:tc>
      </w:tr>
      <w:tr w:rsidR="00A82548" w14:paraId="29CE5483" w14:textId="77777777" w:rsidTr="000412B7">
        <w:trPr>
          <w:trHeight w:val="615"/>
        </w:trPr>
        <w:tc>
          <w:tcPr>
            <w:tcW w:w="6716" w:type="dxa"/>
          </w:tcPr>
          <w:p w14:paraId="5DD27F2C" w14:textId="77777777" w:rsidR="00A82548" w:rsidRPr="00A306B8" w:rsidRDefault="00A82548" w:rsidP="00A82548">
            <w:pPr>
              <w:jc w:val="both"/>
            </w:pPr>
            <w:r w:rsidRPr="00A306B8">
              <w:t>For me to port, transfer, refinance or renew a mortgage, I may be required to re-qualify at that time.</w:t>
            </w:r>
          </w:p>
        </w:tc>
        <w:tc>
          <w:tcPr>
            <w:tcW w:w="4174" w:type="dxa"/>
          </w:tcPr>
          <w:p w14:paraId="6F65A741" w14:textId="77777777" w:rsidR="00A82548" w:rsidRPr="00855E28" w:rsidRDefault="00A82548" w:rsidP="00ED55C4">
            <w:pPr>
              <w:rPr>
                <w:sz w:val="60"/>
                <w:szCs w:val="60"/>
              </w:rPr>
            </w:pPr>
            <w:r w:rsidRPr="00855E28">
              <w:rPr>
                <w:rFonts w:ascii="Wingdings" w:hAnsi="Wingdings" w:cs="Wingdings"/>
                <w:color w:val="FF0000"/>
                <w:sz w:val="60"/>
                <w:szCs w:val="60"/>
                <w:lang w:val="en-CA"/>
              </w:rPr>
              <w:t></w:t>
            </w:r>
            <w:r w:rsidR="00ED55C4" w:rsidRPr="00855E28">
              <w:rPr>
                <w:rFonts w:ascii="Wingdings" w:hAnsi="Wingdings" w:cs="Wingdings"/>
                <w:color w:val="FF0000"/>
                <w:sz w:val="60"/>
                <w:szCs w:val="60"/>
                <w:lang w:val="en-CA"/>
              </w:rPr>
              <w:t></w:t>
            </w:r>
            <w:r w:rsidRPr="00855E28">
              <w:rPr>
                <w:rFonts w:ascii="Wingdings" w:hAnsi="Wingdings" w:cs="Wingdings"/>
                <w:color w:val="FF0000"/>
                <w:sz w:val="60"/>
                <w:szCs w:val="60"/>
                <w:lang w:val="en-CA"/>
              </w:rPr>
              <w:t></w:t>
            </w:r>
            <w:r w:rsidR="000412B7">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p>
        </w:tc>
      </w:tr>
      <w:tr w:rsidR="00A82548" w14:paraId="6465BB11" w14:textId="77777777" w:rsidTr="000412B7">
        <w:tc>
          <w:tcPr>
            <w:tcW w:w="6716" w:type="dxa"/>
          </w:tcPr>
          <w:p w14:paraId="6B8CEEA5" w14:textId="77777777" w:rsidR="00A82548" w:rsidRDefault="00A82548" w:rsidP="00CE0572">
            <w:r w:rsidRPr="00A306B8">
              <w:t>My mortgage may not be renewed at the end of the term under the same terms and conditions</w:t>
            </w:r>
          </w:p>
          <w:p w14:paraId="18AC0D9B" w14:textId="77777777" w:rsidR="00A82548" w:rsidRPr="00803B04" w:rsidRDefault="00A82548" w:rsidP="00A82548"/>
        </w:tc>
        <w:tc>
          <w:tcPr>
            <w:tcW w:w="4174" w:type="dxa"/>
          </w:tcPr>
          <w:p w14:paraId="1B92A8E3" w14:textId="77777777" w:rsidR="00A82548" w:rsidRPr="00855E28" w:rsidRDefault="00A82548" w:rsidP="00ED55C4">
            <w:pPr>
              <w:rPr>
                <w:sz w:val="60"/>
                <w:szCs w:val="60"/>
              </w:rPr>
            </w:pPr>
            <w:r w:rsidRPr="00855E28">
              <w:rPr>
                <w:rFonts w:ascii="Wingdings" w:hAnsi="Wingdings" w:cs="Wingdings"/>
                <w:color w:val="FF0000"/>
                <w:sz w:val="60"/>
                <w:szCs w:val="60"/>
                <w:lang w:val="en-CA"/>
              </w:rPr>
              <w:t></w:t>
            </w:r>
            <w:r w:rsidR="00ED55C4" w:rsidRPr="00855E28">
              <w:rPr>
                <w:rFonts w:ascii="Wingdings" w:hAnsi="Wingdings" w:cs="Wingdings"/>
                <w:color w:val="FF0000"/>
                <w:sz w:val="60"/>
                <w:szCs w:val="60"/>
                <w:lang w:val="en-CA"/>
              </w:rPr>
              <w:t></w:t>
            </w:r>
            <w:r w:rsidRPr="00855E28">
              <w:rPr>
                <w:rFonts w:ascii="Wingdings" w:hAnsi="Wingdings" w:cs="Wingdings"/>
                <w:color w:val="FF0000"/>
                <w:sz w:val="60"/>
                <w:szCs w:val="60"/>
                <w:lang w:val="en-CA"/>
              </w:rPr>
              <w:t></w:t>
            </w:r>
            <w:r w:rsidR="000412B7">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p>
        </w:tc>
      </w:tr>
      <w:tr w:rsidR="00A82548" w14:paraId="7360E620" w14:textId="77777777" w:rsidTr="000412B7">
        <w:tc>
          <w:tcPr>
            <w:tcW w:w="6716" w:type="dxa"/>
          </w:tcPr>
          <w:p w14:paraId="2DC67AA1" w14:textId="77777777" w:rsidR="00A82548" w:rsidRPr="00007796" w:rsidRDefault="00A82548" w:rsidP="00007796">
            <w:r w:rsidRPr="00A306B8">
              <w:t>Service fees may be applicable for some administrative services provided by the lender, such as NSF fees, changing payments and other changes.</w:t>
            </w:r>
          </w:p>
        </w:tc>
        <w:tc>
          <w:tcPr>
            <w:tcW w:w="4174" w:type="dxa"/>
          </w:tcPr>
          <w:p w14:paraId="325B4B34" w14:textId="77777777" w:rsidR="00A82548" w:rsidRPr="00855E28" w:rsidRDefault="00A82548" w:rsidP="00ED55C4">
            <w:pPr>
              <w:rPr>
                <w:sz w:val="60"/>
                <w:szCs w:val="60"/>
              </w:rPr>
            </w:pPr>
            <w:r w:rsidRPr="00855E28">
              <w:rPr>
                <w:rFonts w:ascii="Wingdings" w:hAnsi="Wingdings" w:cs="Wingdings"/>
                <w:color w:val="FF0000"/>
                <w:sz w:val="60"/>
                <w:szCs w:val="60"/>
                <w:lang w:val="en-CA"/>
              </w:rPr>
              <w:t></w:t>
            </w:r>
            <w:r w:rsidR="00ED55C4" w:rsidRPr="00855E28">
              <w:rPr>
                <w:rFonts w:ascii="Wingdings" w:hAnsi="Wingdings" w:cs="Wingdings"/>
                <w:color w:val="FF0000"/>
                <w:sz w:val="60"/>
                <w:szCs w:val="60"/>
                <w:lang w:val="en-CA"/>
              </w:rPr>
              <w:t></w:t>
            </w:r>
            <w:r w:rsidRPr="00855E28">
              <w:rPr>
                <w:rFonts w:ascii="Wingdings" w:hAnsi="Wingdings" w:cs="Wingdings"/>
                <w:color w:val="FF0000"/>
                <w:sz w:val="60"/>
                <w:szCs w:val="60"/>
                <w:lang w:val="en-CA"/>
              </w:rPr>
              <w:t></w:t>
            </w:r>
            <w:r w:rsidR="000412B7">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p>
        </w:tc>
      </w:tr>
      <w:tr w:rsidR="00A82548" w14:paraId="29AC8C7C" w14:textId="77777777" w:rsidTr="000412B7">
        <w:tc>
          <w:tcPr>
            <w:tcW w:w="6716" w:type="dxa"/>
          </w:tcPr>
          <w:p w14:paraId="67694A77" w14:textId="77777777" w:rsidR="00A82548" w:rsidRPr="00007796" w:rsidRDefault="00A82548" w:rsidP="00007796">
            <w:r w:rsidRPr="00A306B8">
              <w:t>If my mortgage is a variable rate mortgage, and if I “lock in” to a fixed rate mortgage later on, I will be locking into interest rates that are available at that time and not necessarily those interest rates available today.</w:t>
            </w:r>
          </w:p>
        </w:tc>
        <w:tc>
          <w:tcPr>
            <w:tcW w:w="4174" w:type="dxa"/>
          </w:tcPr>
          <w:p w14:paraId="4D5AA659" w14:textId="77777777" w:rsidR="00A82548" w:rsidRPr="00855E28" w:rsidRDefault="00A82548" w:rsidP="00ED55C4">
            <w:pPr>
              <w:rPr>
                <w:sz w:val="60"/>
                <w:szCs w:val="60"/>
              </w:rPr>
            </w:pPr>
            <w:r w:rsidRPr="00855E28">
              <w:rPr>
                <w:rFonts w:ascii="Wingdings" w:hAnsi="Wingdings" w:cs="Wingdings"/>
                <w:color w:val="FF0000"/>
                <w:sz w:val="60"/>
                <w:szCs w:val="60"/>
                <w:lang w:val="en-CA"/>
              </w:rPr>
              <w:t></w:t>
            </w:r>
            <w:r w:rsidR="00ED55C4" w:rsidRPr="00855E28">
              <w:rPr>
                <w:rFonts w:ascii="Wingdings" w:hAnsi="Wingdings" w:cs="Wingdings"/>
                <w:color w:val="FF0000"/>
                <w:sz w:val="60"/>
                <w:szCs w:val="60"/>
                <w:lang w:val="en-CA"/>
              </w:rPr>
              <w:t></w:t>
            </w:r>
            <w:r w:rsidRPr="00855E28">
              <w:rPr>
                <w:rFonts w:ascii="Wingdings" w:hAnsi="Wingdings" w:cs="Wingdings"/>
                <w:color w:val="FF0000"/>
                <w:sz w:val="60"/>
                <w:szCs w:val="60"/>
                <w:lang w:val="en-CA"/>
              </w:rPr>
              <w:t></w:t>
            </w:r>
            <w:r w:rsidR="000412B7">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r w:rsidR="000412B7" w:rsidRPr="00855E28">
              <w:rPr>
                <w:rFonts w:ascii="Wingdings" w:hAnsi="Wingdings" w:cs="Wingdings"/>
                <w:color w:val="FF0000"/>
                <w:sz w:val="60"/>
                <w:szCs w:val="60"/>
                <w:lang w:val="en-CA"/>
              </w:rPr>
              <w:t></w:t>
            </w:r>
          </w:p>
        </w:tc>
      </w:tr>
    </w:tbl>
    <w:p w14:paraId="5B9636F4" w14:textId="77777777" w:rsidR="000412B7" w:rsidRDefault="000412B7" w:rsidP="00007796">
      <w:pPr>
        <w:tabs>
          <w:tab w:val="left" w:pos="90"/>
        </w:tabs>
        <w:ind w:left="-450"/>
        <w:rPr>
          <w:rFonts w:cs="Times New Roman"/>
          <w:b/>
        </w:rPr>
      </w:pPr>
    </w:p>
    <w:p w14:paraId="2CC71A8A" w14:textId="77777777" w:rsidR="00D90318" w:rsidRPr="00007796" w:rsidRDefault="00D90318" w:rsidP="00007796">
      <w:pPr>
        <w:tabs>
          <w:tab w:val="left" w:pos="90"/>
        </w:tabs>
        <w:ind w:left="-450"/>
        <w:rPr>
          <w:rFonts w:cs="Times New Roman"/>
          <w:b/>
        </w:rPr>
      </w:pPr>
      <w:r w:rsidRPr="00007796">
        <w:rPr>
          <w:rFonts w:cs="Times New Roman"/>
          <w:b/>
        </w:rPr>
        <w:t>By signing below I/we declare that the risks associated</w:t>
      </w:r>
      <w:r w:rsidR="00007796">
        <w:rPr>
          <w:rFonts w:cs="Times New Roman"/>
          <w:b/>
        </w:rPr>
        <w:t xml:space="preserve"> </w:t>
      </w:r>
      <w:r w:rsidRPr="00007796">
        <w:rPr>
          <w:rFonts w:cs="Times New Roman"/>
          <w:b/>
        </w:rPr>
        <w:t>with the mortgage being recommended for me/us</w:t>
      </w:r>
      <w:r w:rsidR="00007796">
        <w:rPr>
          <w:rFonts w:cs="Times New Roman"/>
          <w:b/>
        </w:rPr>
        <w:t xml:space="preserve"> have been</w:t>
      </w:r>
      <w:r w:rsidR="00007796" w:rsidRPr="00007796">
        <w:rPr>
          <w:rFonts w:cs="Times New Roman"/>
          <w:b/>
        </w:rPr>
        <w:t xml:space="preserve"> clearly explained </w:t>
      </w:r>
      <w:r w:rsidR="00007796">
        <w:rPr>
          <w:rFonts w:cs="Times New Roman"/>
          <w:b/>
        </w:rPr>
        <w:t xml:space="preserve">and </w:t>
      </w:r>
      <w:r w:rsidR="00007796" w:rsidRPr="00007796">
        <w:rPr>
          <w:rFonts w:cs="Times New Roman"/>
          <w:b/>
        </w:rPr>
        <w:t>I/we understand</w:t>
      </w:r>
      <w:r w:rsidRPr="00007796">
        <w:rPr>
          <w:rFonts w:cs="Times New Roman"/>
          <w:b/>
        </w:rPr>
        <w:t xml:space="preserve"> </w:t>
      </w:r>
      <w:r w:rsidR="00007796">
        <w:rPr>
          <w:rFonts w:cs="Times New Roman"/>
          <w:b/>
        </w:rPr>
        <w:t>these risks.</w:t>
      </w:r>
    </w:p>
    <w:p w14:paraId="6D51E92F" w14:textId="77777777" w:rsidR="00D90318" w:rsidRPr="0053627A" w:rsidRDefault="00D90318" w:rsidP="00D90318">
      <w:pPr>
        <w:jc w:val="both"/>
        <w:rPr>
          <w:rFonts w:cs="Times New Roman"/>
        </w:rPr>
      </w:pPr>
      <w:r w:rsidRPr="0053627A">
        <w:rPr>
          <w:rFonts w:cs="Times New Roman"/>
        </w:rPr>
        <w:t>Borrower 1: _______________</w:t>
      </w:r>
      <w:r w:rsidR="00855E28">
        <w:rPr>
          <w:rFonts w:cs="Times New Roman"/>
        </w:rPr>
        <w:t>________</w:t>
      </w:r>
      <w:r w:rsidRPr="0053627A">
        <w:rPr>
          <w:rFonts w:cs="Times New Roman"/>
        </w:rPr>
        <w:t>_____</w:t>
      </w:r>
      <w:r w:rsidR="00295C50">
        <w:rPr>
          <w:rFonts w:cs="Times New Roman"/>
        </w:rPr>
        <w:t>____</w:t>
      </w:r>
      <w:r w:rsidRPr="0053627A">
        <w:rPr>
          <w:rFonts w:cs="Times New Roman"/>
        </w:rPr>
        <w:t>_____                Date: ______________________</w:t>
      </w:r>
    </w:p>
    <w:p w14:paraId="7A6BB418" w14:textId="77777777" w:rsidR="00D90318" w:rsidRDefault="00D90318" w:rsidP="00D90318">
      <w:pPr>
        <w:jc w:val="both"/>
        <w:rPr>
          <w:rFonts w:cs="Times New Roman"/>
        </w:rPr>
      </w:pPr>
      <w:r w:rsidRPr="0053627A">
        <w:rPr>
          <w:rFonts w:cs="Times New Roman"/>
        </w:rPr>
        <w:t>Borrower 2: _______________________</w:t>
      </w:r>
      <w:r w:rsidR="00855E28">
        <w:rPr>
          <w:rFonts w:cs="Times New Roman"/>
        </w:rPr>
        <w:t>________</w:t>
      </w:r>
      <w:r w:rsidRPr="0053627A">
        <w:rPr>
          <w:rFonts w:cs="Times New Roman"/>
        </w:rPr>
        <w:t>_</w:t>
      </w:r>
      <w:r w:rsidR="00295C50">
        <w:rPr>
          <w:rFonts w:cs="Times New Roman"/>
        </w:rPr>
        <w:t>____</w:t>
      </w:r>
      <w:r w:rsidRPr="0053627A">
        <w:rPr>
          <w:rFonts w:cs="Times New Roman"/>
        </w:rPr>
        <w:t xml:space="preserve">_                Date: </w:t>
      </w:r>
      <w:r w:rsidR="00007796" w:rsidRPr="0053627A">
        <w:rPr>
          <w:rFonts w:cs="Times New Roman"/>
        </w:rPr>
        <w:t>______________________</w:t>
      </w:r>
    </w:p>
    <w:p w14:paraId="10E8FF06" w14:textId="77777777" w:rsidR="000412B7" w:rsidRPr="0053627A" w:rsidRDefault="000412B7" w:rsidP="000412B7">
      <w:pPr>
        <w:jc w:val="both"/>
        <w:rPr>
          <w:rFonts w:cs="Times New Roman"/>
        </w:rPr>
      </w:pPr>
      <w:r w:rsidRPr="0053627A">
        <w:rPr>
          <w:rFonts w:cs="Times New Roman"/>
        </w:rPr>
        <w:t xml:space="preserve">Borrower </w:t>
      </w:r>
      <w:r>
        <w:rPr>
          <w:rFonts w:cs="Times New Roman"/>
        </w:rPr>
        <w:t>3</w:t>
      </w:r>
      <w:r w:rsidRPr="0053627A">
        <w:rPr>
          <w:rFonts w:cs="Times New Roman"/>
        </w:rPr>
        <w:t>: _______________</w:t>
      </w:r>
      <w:r>
        <w:rPr>
          <w:rFonts w:cs="Times New Roman"/>
        </w:rPr>
        <w:t>________</w:t>
      </w:r>
      <w:r w:rsidRPr="0053627A">
        <w:rPr>
          <w:rFonts w:cs="Times New Roman"/>
        </w:rPr>
        <w:t>_____</w:t>
      </w:r>
      <w:r>
        <w:rPr>
          <w:rFonts w:cs="Times New Roman"/>
        </w:rPr>
        <w:t>____</w:t>
      </w:r>
      <w:r w:rsidRPr="0053627A">
        <w:rPr>
          <w:rFonts w:cs="Times New Roman"/>
        </w:rPr>
        <w:t>_____                Date: ______________________</w:t>
      </w:r>
    </w:p>
    <w:p w14:paraId="558C37DC" w14:textId="77777777" w:rsidR="000412B7" w:rsidRPr="0053627A" w:rsidRDefault="000412B7" w:rsidP="000412B7">
      <w:pPr>
        <w:jc w:val="both"/>
        <w:rPr>
          <w:rFonts w:cs="Times New Roman"/>
        </w:rPr>
      </w:pPr>
      <w:r w:rsidRPr="0053627A">
        <w:rPr>
          <w:rFonts w:cs="Times New Roman"/>
        </w:rPr>
        <w:t xml:space="preserve">Borrower </w:t>
      </w:r>
      <w:r>
        <w:rPr>
          <w:rFonts w:cs="Times New Roman"/>
        </w:rPr>
        <w:t>4</w:t>
      </w:r>
      <w:r w:rsidRPr="0053627A">
        <w:rPr>
          <w:rFonts w:cs="Times New Roman"/>
        </w:rPr>
        <w:t>: _______________________</w:t>
      </w:r>
      <w:r>
        <w:rPr>
          <w:rFonts w:cs="Times New Roman"/>
        </w:rPr>
        <w:t>________</w:t>
      </w:r>
      <w:r w:rsidRPr="0053627A">
        <w:rPr>
          <w:rFonts w:cs="Times New Roman"/>
        </w:rPr>
        <w:t>_</w:t>
      </w:r>
      <w:r>
        <w:rPr>
          <w:rFonts w:cs="Times New Roman"/>
        </w:rPr>
        <w:t>____</w:t>
      </w:r>
      <w:r w:rsidRPr="0053627A">
        <w:rPr>
          <w:rFonts w:cs="Times New Roman"/>
        </w:rPr>
        <w:t>_                Date: ______________________</w:t>
      </w:r>
    </w:p>
    <w:sectPr w:rsidR="000412B7" w:rsidRPr="0053627A" w:rsidSect="005A25E3">
      <w:headerReference w:type="even" r:id="rId6"/>
      <w:headerReference w:type="default" r:id="rId7"/>
      <w:footerReference w:type="even" r:id="rId8"/>
      <w:footerReference w:type="default" r:id="rId9"/>
      <w:headerReference w:type="first" r:id="rId10"/>
      <w:footerReference w:type="first" r:id="rId11"/>
      <w:pgSz w:w="12240" w:h="15840"/>
      <w:pgMar w:top="284" w:right="758" w:bottom="567"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4E23" w14:textId="77777777" w:rsidR="002E3489" w:rsidRDefault="002E3489" w:rsidP="00295C50">
      <w:pPr>
        <w:spacing w:after="0" w:line="240" w:lineRule="auto"/>
      </w:pPr>
      <w:r>
        <w:separator/>
      </w:r>
    </w:p>
  </w:endnote>
  <w:endnote w:type="continuationSeparator" w:id="0">
    <w:p w14:paraId="2E96358A" w14:textId="77777777" w:rsidR="002E3489" w:rsidRDefault="002E3489" w:rsidP="0029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1AA98" w14:textId="77777777" w:rsidR="004F3840" w:rsidRDefault="004F3840">
    <w:pPr>
      <w:pStyle w:val="Footer"/>
    </w:pPr>
  </w:p>
  <w:p w14:paraId="7ED290AC" w14:textId="77777777" w:rsidR="004F3840" w:rsidRDefault="004F3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F7D3" w14:textId="77777777" w:rsidR="004F3840" w:rsidRDefault="004F3840" w:rsidP="00AE2273">
    <w:pPr>
      <w:pStyle w:val="Footer"/>
      <w:rPr>
        <w:b/>
        <w:bCs/>
      </w:rPr>
    </w:pPr>
    <w:r>
      <w:rPr>
        <w:b/>
        <w:bCs/>
        <w:noProof/>
      </w:rPr>
      <mc:AlternateContent>
        <mc:Choice Requires="wpg">
          <w:drawing>
            <wp:anchor distT="0" distB="0" distL="114300" distR="114300" simplePos="0" relativeHeight="251662336" behindDoc="1" locked="0" layoutInCell="1" allowOverlap="1" wp14:anchorId="6F2915D2" wp14:editId="16370FD4">
              <wp:simplePos x="0" y="0"/>
              <wp:positionH relativeFrom="column">
                <wp:posOffset>-1095375</wp:posOffset>
              </wp:positionH>
              <wp:positionV relativeFrom="paragraph">
                <wp:posOffset>-1323975</wp:posOffset>
              </wp:positionV>
              <wp:extent cx="7450373" cy="2466340"/>
              <wp:effectExtent l="0" t="0" r="0" b="0"/>
              <wp:wrapNone/>
              <wp:docPr id="1446911441" name="Group 1"/>
              <wp:cNvGraphicFramePr/>
              <a:graphic xmlns:a="http://schemas.openxmlformats.org/drawingml/2006/main">
                <a:graphicData uri="http://schemas.microsoft.com/office/word/2010/wordprocessingGroup">
                  <wpg:wgp>
                    <wpg:cNvGrpSpPr/>
                    <wpg:grpSpPr>
                      <a:xfrm>
                        <a:off x="0" y="0"/>
                        <a:ext cx="7450373" cy="2466340"/>
                        <a:chOff x="0" y="0"/>
                        <a:chExt cx="7200900" cy="2466340"/>
                      </a:xfrm>
                    </wpg:grpSpPr>
                    <pic:pic xmlns:pic="http://schemas.openxmlformats.org/drawingml/2006/picture">
                      <pic:nvPicPr>
                        <pic:cNvPr id="1829501286"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a:off x="19367" y="-952"/>
                          <a:ext cx="2447925" cy="2486660"/>
                        </a:xfrm>
                        <a:prstGeom prst="rect">
                          <a:avLst/>
                        </a:prstGeom>
                      </pic:spPr>
                    </pic:pic>
                    <pic:pic xmlns:pic="http://schemas.openxmlformats.org/drawingml/2006/picture">
                      <pic:nvPicPr>
                        <pic:cNvPr id="237747649" name="صورة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5400000" flipV="1">
                          <a:off x="4715510" y="-19685"/>
                          <a:ext cx="2465705" cy="2505075"/>
                        </a:xfrm>
                        <a:prstGeom prst="rect">
                          <a:avLst/>
                        </a:prstGeom>
                      </pic:spPr>
                    </pic:pic>
                  </wpg:wgp>
                </a:graphicData>
              </a:graphic>
              <wp14:sizeRelH relativeFrom="margin">
                <wp14:pctWidth>0</wp14:pctWidth>
              </wp14:sizeRelH>
            </wp:anchor>
          </w:drawing>
        </mc:Choice>
        <mc:Fallback>
          <w:pict>
            <v:group w14:anchorId="33F167CB" id="Group 1" o:spid="_x0000_s1026" style="position:absolute;margin-left:-86.25pt;margin-top:-104.25pt;width:586.65pt;height:194.2pt;z-index:-251654144;mso-width-relative:margin" coordsize="72009,24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wV2KpwIAAIMHAAAOAAAAZHJzL2Uyb0RvYy54bWzsldtu2yAYx+8n7R0Q&#10;960P8SG2mlTTulaTqi3a6Z5gbKMag4Ac+gZ7lV3uYu/Svc0+sJOm6bRN1W4mLVJsMPDx//78gLPz&#10;rejQmmnDZT/D0WmIEeuprHjfzPDHD5cnU4yMJX1FOtmzGb5lBp/Pnz8726iSxbKVXcU0giC9KTdq&#10;hltrVRkEhrZMEHMqFeuhsZZaEAtV3QSVJhuILrogDsMs2EhdKS0pMwa+XgyNeO7j1zWj9m1dG2ZR&#10;N8Ogzfqn9s+lewbzM1I2mqiW01EGeYIKQXgPk+5DXRBL0ErzR6EEp1oaWdtTKkUg65pT5nOAbKLw&#10;KJsrLVfK59KUm0btbQJrj3x6clj6Zn2l1Xu10ODERjXgha+5XLa1Fu4NKtHWW3a7t4xtLaLwMU/S&#10;cJJPMKLQFidZNklGU2kLzj8aR9tXu5GwfEUIa3I0MthNHDyQozgt4T96AKVHHvyeFRhlV5rhMYj4&#10;oxiC6JuVOoHlUsTyJe+4vfXowcI4Uf16welCDxWwc6ERr2ArTOMiDaN4mmHUEwHo3337/vnu690X&#10;FDvq3FDXexhLXG7Xkt4Y1MuXLekb9sIooBcCud7Bw+6++mDiZcfVJe86t16uPKYIpB+R8hOXBgov&#10;JF0J1tthW2nWQbayNy1XBiNdMrFkkJZ+XXlBpDRWM0tbN2ENE78DsU7oQYNXeS/MpWAAtB1aSEtI&#10;L01C9wMz96BFxSTLMQKgTorUm0XKHW9xkuRFnO6omWZZ5nnbUwNOamOvmBTIFUAxCPPRyfrajBJ3&#10;XUZjB1VeLogc1gYK/wxr8STPkzxLiv+oDXvg16ihGjbIJ7ezDqBL8ihNIziOHHZRkU3T4W64By9L&#10;83AHXhqmYe57/FXw/JEHJ73fR+Ot5K6SwzqUD+/O+Q8AAAD//wMAUEsDBAoAAAAAAAAAIQC+g86f&#10;Aw8AAAMPAAAUAAAAZHJzL21lZGlhL2ltYWdlMS5wbmeJUE5HDQoaCgAAAA1JSERSAAACKwAAAhsI&#10;BgAAACrU3oUAAAAZdEVYdFNvZnR3YXJlAEFkb2JlIEltYWdlUmVhZHlxyWU8AAADJmlUWHRYTUw6&#10;Y29tLmFkb2JlLnhtcAAAAAAAPD94cGFja2V0IGJlZ2luPSLvu78iIGlkPSJXNU0wTXBDZWhpSHpy&#10;ZVN6TlRjemtjOWQiPz4gPHg6eG1wbWV0YSB4bWxuczp4PSJhZG9iZTpuczptZXRhLyIgeDp4bXB0&#10;az0iQWRvYmUgWE1QIENvcmUgNy4yLWMwMDAgNzkuMWI2NWE3OWI0LCAyMDIyLzA2LzEzLTIyOjAx&#10;OjAxICAgICAgICAiPiA8cmRmOlJERiB4bWxuczpyZGY9Imh0dHA6Ly93d3cudzMub3JnLzE5OTkv&#10;MDIvMjItcmRmLXN5bnRheC1ucyMiPiA8cmRmOkRlc2NyaXB0aW9uIHJkZjphYm91dD0iIiB4bWxu&#10;czp4bXA9Imh0dHA6Ly9ucy5hZG9iZS5jb20veGFwLzEuMC8iIHhtbG5zOnhtcE1NPSJodHRwOi8v&#10;bnMuYWRvYmUuY29tL3hhcC8xLjAvbW0vIiB4bWxuczpzdFJlZj0iaHR0cDovL25zLmFkb2JlLmNv&#10;bS94YXAvMS4wL3NUeXBlL1Jlc291cmNlUmVmIyIgeG1wOkNyZWF0b3JUb29sPSJBZG9iZSBQaG90&#10;b3Nob3AgMjMuNSAoV2luZG93cykiIHhtcE1NOkluc3RhbmNlSUQ9InhtcC5paWQ6QjNFQUFGNTQw&#10;NDNBMTFGMTkyMzZFNTY3RkRCQTY1QjMiIHhtcE1NOkRvY3VtZW50SUQ9InhtcC5kaWQ6QjNFQUFG&#10;NTUwNDNBMTFGMTkyMzZFNTY3RkRCQTY1QjMiPiA8eG1wTU06RGVyaXZlZEZyb20gc3RSZWY6aW5z&#10;dGFuY2VJRD0ieG1wLmlpZDpCM0VBQUY1MjA0M0ExMUYxOTIzNkU1NjdGREJBNjVCMyIgc3RSZWY6&#10;ZG9jdW1lbnRJRD0ieG1wLmRpZDpCM0VBQUY1MzA0M0ExMUYxOTIzNkU1NjdGREJBNjVCMyIvPiA8&#10;L3JkZjpEZXNjcmlwdGlvbj4gPC9yZGY6UkRGPiA8L3g6eG1wbWV0YT4gPD94cGFja2V0IGVuZD0i&#10;ciI/PvqQctUAAAtzSURBVHja7N3dixdVGMDxs7n5bpuhYbUsiS1IZRRCVkiCgmRgUOyF4RJeWGgI&#10;4UVRURcVeVEUkVTEmlELZpq7q2sW1EXQ+1/Rv9JzGIRFjMx095mZzweeu6CZMxd+2d/MOQN/PXtv&#10;AQDI6gZLAACIFQAAsQIAiBUAALECACBWAACxAgAgVgAAsQIAIFYAAMQKACBWAADECgAgVgAAxAoA&#10;0AoHxQoAkNVjMUfFCgCQ0aaYkzGLxAoAkM3amHMxQwt9IWIFALjUspjZmDszXIxYAQDmGoiZiNmS&#10;5YLECgAw1xsxezNdkFgBAC6qkfJatosSKwBA9VDM8dL8DCRWAIBU7irNlz+LM16cWAGAfqufJk+V&#10;5lPllMQKAPRX3eztTGk2f0tLrABAf9Vt9Hdkv0ixAgD99EJZ4AMKxQoA8E+eiHmvLRcrVgCgX+r7&#10;KZNlgQ8nFCsAwOXcFnMh5qY2XbRYAYB+WB4zHTPctgsXKwDQfXVX2i9KosMJxQoAMNeRmLG2XrxY&#10;AYBuG495uc03IFYAoLu2xXzW9psQKwDQTfVwwtMl6eGEYgUA+q0eTlg/UV7bhZsRKwDQLfUvKfUU&#10;5dGu3JBYAYBuqYcTbu/SDYkVAOiOl2Ke69pNiRUA6IZ6OOGRLt6YWAGA9nsg5qvSosMJxQoA9Ec9&#10;6+dcac7+6SSxAgDtVQNlprTwcEKxAgDdV/8Nrz/9bO7DjQIA7fN2aV6q7UWVAQDtsr+0/HBCsQIA&#10;3VU3fPuoTzcsVgCgPerhhGdKBw4nFCsA0D31UMLvYm7u242LFQDIr/4l5WRp/rLSO2IFAPKbKB07&#10;nFCsAEB31K9+nunzAogVAMjrqdLRwwnFCgC035aYyZgBsQIAZFPP+qmfKC+3FGIFALJZEXMh5g5L&#10;IVYAIJtFMSdiNlkKsQIAGb1benI4oVgBgPY5GHPYMogVAMiobvj2oWUQKwCQ0d0xUzGDlkKsAEA2&#10;9XDCszFDlkKsAEA29XDCmdLTwwnFCgDkVnelPR7ziKUQKwCQ0asxey2DWAGAjJ6OecsyiBUAyKge&#10;TnisOJxQrABAQiMxs8XhhGIFABKqnyafL82nyogVAEjF4YRiBQBSq9voP24ZxAoAZPW8JRArAIBY&#10;AQAQKwAAYgUAECsAAGIFABArAABiBQBArAAAYgUAQKwAAGIFAECsAACIFQBArAAAiBUAQKwAAIgV&#10;AACxAgCIFQAAsQIAIFYAALECACBWAACxAgAgVgAAxAoAIFYAAMQKACBWAADECgCAWAEAxAoAgFgB&#10;AMQKAIBYAQAQKwCAWAEAECsAgFgBABArAABiBQAQKwAAYgUAQKwAAGIFAECsAABiBQBArAAAiBUA&#10;QKwAAIgVAECsAACIFQAAsQIAiBUAALECAIgVAACxAgAgVgAAsQIAIFYAALECACBWAADECgAgVgAA&#10;xAoAgFgBAMQKAIBYAQDECgCAWAEAECsAgFgBABArAIBYAQAQKwAAYgUAECsAAGIFABArAABiBQBA&#10;rAAAYgUAQKwAAGIFAECsAACIFQBArAAAiBUAALECAIgVAACxAgCIFQAAsQIAIFYAALECACBWAACx&#10;AgAgVgAAxAoAIFYAAMQKACBWAADECgCAWAEAxAoAgFgBAMQKAIBYAQAQKwCAWAEAECsAAGIFABAr&#10;AABiBQAQKwAAYgUAQKwAAGIFAECsAABiBQBArAAAiBUAQKwAAIgVAECsAACIFQAAsQIAiBUAALEC&#10;AIgVAACxAgAgVgAAsQIAIFYAAMQKACBWAADECgAgVgAAxAoAgFgBAMQKAIBYAQDECgCAWAEAECsA&#10;gFgBABArAIBYAQAQKwAAYgUAECsAAGIFABArAABiBQBArAAAYgUAQKwAAGLFEgAAYgUAQKwAAGIF&#10;AECsAACIFQBArAAAiBUAQKwAAIgVAACxAgCIFQAAsQIAiBUAALECACBWAACxAgAgVgAAsQIAIFYA&#10;AMQKACBWAADECgAgVgAAxAoAgFgBAMQKAIBYAQAQKwCAWAEAECsAgFgBABArAABiBQAQKwAAYgUA&#10;ECsAAGIFAECsAABiBQBArAAAYgUAQKwAAIgVAECsAACIFQBArAAAiBUAALECAIgVAACxAgAgVgAA&#10;sQIAIFYAALECACBWAADECgAgVgAAxAoAIFYAAMQKAIBYAQDECgCAWAEAxAoAgFgBABArAIBYAQAQ&#10;KwCAWAEAECsAAGIFABArAABiBQBArAAAYgUAQKwAAGIFAECsAACIFQBArAAAiBUAQKwAAIgVAACx&#10;AgCIFQAAsQIAiBUAALECACBWAACxAgAgVgAAsQIAIFYAAMQKACBWAADECgCAWAEAxAoAgFgBAMQK&#10;AIBYAQAQKwCAWAEAECsAgFgBABArAABiBQAQKwAAYgUAECsAAGIFAECsAABiBQBArAAAYgUAQKwA&#10;AIgVAECsAACIFQAAsQIAiBUAALECAIgVAACxAgAgVgAAsQIAIFYAALECACBWAADECgAgVgAAxAoA&#10;IFYAAMQKAIBYAQDECgCAWAEAxAoAgFgBABArAIBYAQAQKwAAYgUAECsAAGIFABArAABiBQBArAAA&#10;YgUAQKwAAGIFAECsAACIFQBArAAAiBUAQKwAAIgVAACxAgCIFQAAsQIAiBUAALECACBWAACxAgAg&#10;VgAAxAoAIFYAAMQKACBWAADECgCAWAEAxAoAgFgBAMQKAIBYAQAQKwCAWAEAECsAgFgBABArAABi&#10;BQAQKwAAYgUAECsAAGIFAECsAABiBQBArAAAiBUAQKwAAIgVAECsAACIFQAAsQIAiBUAALECAIgV&#10;AACxAgAgVgAAsQIAIFYAALECACBWAADECgAgVgAAxAoAIFYAAMQKAIBYAQDECgCAWAEAECsAgFgB&#10;ABArAIBYAQAQKwAAYgUAECsAAGIFABArAABiBQBArAAAYgUAQKwAAGIFAECsAACIFQBArAAAiBUA&#10;QKwAAIgVAACxAgCIFQAAsQIAIFYAALECACBWAACxAgAgVgAAxAoAIFYAAMQKACBWAADECgCAWAEA&#10;xAoAgFgBAMQKAIBYAQAQKwCAWAEAECsAgFgBABArAAD/xWBP7nNRzAcxhzxyABAr2ayK+Tpml8cN&#10;AGIlm5GY8zGbPGoAaKcuv7OyJeZPoQIAYiWjPTE/xazziAFArGQyEPN6zImYpR4vALRfl95ZWRJz&#10;LGbcYwUAsZLNmpjpmK0eKQCIlWw2luaLnw0eJwB0T9vfWdkZ85tQAQCxktGBmG9jVnuMACBWMqlb&#10;578f80npz3EBANBbbfvHfmVpPkve7dEBgFjJZjhmNuZ+jw0A+qMtPwNtLs3W+UIFAMRKOmMxP8fc&#10;7nEBgFjJ5pWYUzHLPCoA6Kes76wsjvk0Zp9HBABiJZtbYqZitnk8AEC2WBktzUZvox4NAFBlemdl&#10;e8wfQgUAyBgr+2O+L81PQAAAaWKl/v/fiZmIudHjAAAutZDvrKyImYx50mMAALLFSt3g7VxpdqYF&#10;AEgVK3XL/HrGz7DlBwD+zXy/s1J/8vlFqAAAGWPlxZhvSvOuCgDAFZmPn4HqVz4fl+bzZACAVLGy&#10;OuZ0zA5LDQBki5UNMedjNlpmAOBqXa93Vh4tzdb5QgUASBcr+2J+iFljeQGATLEyEHMk5vOYxZYW&#10;ALgWrtU7K8tivowZs6QAQLZYWRdzNuZBywkAZIuV+0qzdf6IpQQArof/887K7phfhQoAkDFWDsdM&#10;x6y0hADA9TR4Ff/90ZgDlg4AyBYrQzGnYnZaNgAgW6ysL82LtPdYMgBgPl3JOytbS7N1vlABANLF&#10;ynjMjzG3WioAIFOs1K3z3yzNrrRLLBMAsFAu987K0tKc77PH8gAA2WKl/twzE/OwpQEAssVKfYG2&#10;fvGz3rIAAFlcfGdlV8zvQgUAyBgrh0rzF5VVlgMAyOZvAQYAtPtt2vBP20MAAAAASUVORK5CYIJQ&#10;SwMEFAAGAAgAAAAhACeNgCHiAAAADgEAAA8AAABkcnMvZG93bnJldi54bWxMj0FrwkAQhe+F/odl&#10;Cr3pblKsGrMRkbYnKVQLxduYjEkwuxuyaxL/fcdTe3uPebz5XroeTSN66nztrIZoqkCQzV1R21LD&#10;9+F9sgDhA9oCG2dJw408rLPHhxSTwg32i/p9KAWXWJ+ghiqENpHS5xUZ9FPXkuXb2XUGA9uulEWH&#10;A5ebRsZKvUqDteUPFba0rSi/7K9Gw8eAw+Yleut3l/P2djzMPn92EWn9/DRuViACjeEvDHd8RoeM&#10;mU7uagsvGg2TaB7POMsqVgtW94xSivecWM2XS5BZKv/PyH4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ecFdiqcCAACDBwAADgAAAAAAAAAAAAAAAAA6AgAAZHJz&#10;L2Uyb0RvYy54bWxQSwECLQAKAAAAAAAAACEAvoPOnwMPAAADDwAAFAAAAAAAAAAAAAAAAAANBQAA&#10;ZHJzL21lZGlhL2ltYWdlMS5wbmdQSwECLQAUAAYACAAAACEAJ42AIeIAAAAOAQAADwAAAAAAAAAA&#10;AAAAAABCFAAAZHJzL2Rvd25yZXYueG1sUEsBAi0AFAAGAAgAAAAhAKomDr68AAAAIQEAABkAAAAA&#10;AAAAAAAAAAAAURUAAGRycy9fcmVscy9lMm9Eb2MueG1sLnJlbHNQSwUGAAAAAAYABgB8AQAARBY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7" type="#_x0000_t75" style="position:absolute;left:193;top:-9;width:24479;height:24866;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uN0ygAAAOMAAAAPAAAAZHJzL2Rvd25yZXYueG1sRE9La8JA&#10;EL4X+h+WKfQiukmgEqOriKVQWjz4OOhtzE6T1Oxsml019dd3BaHH+d4zmXWmFmdqXWVZQTyIQBDn&#10;VldcKNhu3vopCOeRNdaWScEvOZhNHx8mmGl74RWd174QIYRdhgpK75tMSpeXZNANbEMcuC/bGvTh&#10;bAupW7yEcFPLJIqG0mDFoaHEhhYl5cf1ySg4yu/65Oj1c1f1esu9PPxcKf5Q6vmpm49BeOr8v/ju&#10;ftdhfpqMXqI4SYdw+ykAIKd/AAAA//8DAFBLAQItABQABgAIAAAAIQDb4fbL7gAAAIUBAAATAAAA&#10;AAAAAAAAAAAAAAAAAABbQ29udGVudF9UeXBlc10ueG1sUEsBAi0AFAAGAAgAAAAhAFr0LFu/AAAA&#10;FQEAAAsAAAAAAAAAAAAAAAAAHwEAAF9yZWxzLy5yZWxzUEsBAi0AFAAGAAgAAAAhAPR243TKAAAA&#10;4wAAAA8AAAAAAAAAAAAAAAAABwIAAGRycy9kb3ducmV2LnhtbFBLBQYAAAAAAwADALcAAAD+AgAA&#10;AAA=&#10;">
                <v:imagedata r:id="rId2" o:title=""/>
              </v:shape>
              <v:shape id="صورة 2" o:spid="_x0000_s1028" type="#_x0000_t75" style="position:absolute;left:47155;top:-197;width:24657;height:25051;rotation:-9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e5GyQAAAOIAAAAPAAAAZHJzL2Rvd25yZXYueG1sRE/LasJA&#10;FN0L/sNwhW6KThof0egopbVQdOPrAy6ZaxKbuZNmppr26zuFgrtzOC/OYtWaSlypcaVlBU+DCARx&#10;ZnXJuYLT8a0/BeE8ssbKMin4JgerZbezwFTbG+/pevC5CCXsUlRQeF+nUrqsIINuYGvioJ1tY9AH&#10;2uRSN3gL5aaScRRNpMGSw0KBNb0UlH0cvoyCHxp/ynhjHy/b9U5vksvrPmClHnrt8xyEp9bfzf/p&#10;d60gHibJKJmMZvB3KdwBufwFAAD//wMAUEsBAi0AFAAGAAgAAAAhANvh9svuAAAAhQEAABMAAAAA&#10;AAAAAAAAAAAAAAAAAFtDb250ZW50X1R5cGVzXS54bWxQSwECLQAUAAYACAAAACEAWvQsW78AAAAV&#10;AQAACwAAAAAAAAAAAAAAAAAfAQAAX3JlbHMvLnJlbHNQSwECLQAUAAYACAAAACEA0dHuRskAAADi&#10;AAAADwAAAAAAAAAAAAAAAAAHAgAAZHJzL2Rvd25yZXYueG1sUEsFBgAAAAADAAMAtwAAAP0CAAAA&#10;AA==&#10;">
                <v:imagedata r:id="rId2" o:title=""/>
              </v:shape>
            </v:group>
          </w:pict>
        </mc:Fallback>
      </mc:AlternateContent>
    </w:r>
    <w:r>
      <w:rPr>
        <w:b/>
        <w:bCs/>
      </w:rPr>
      <w:tab/>
    </w:r>
    <w:r>
      <w:rPr>
        <w:b/>
        <w:bCs/>
      </w:rPr>
      <w:tab/>
    </w:r>
    <w:r>
      <w:rPr>
        <w:b/>
        <w:bCs/>
      </w:rPr>
      <w:tab/>
    </w:r>
  </w:p>
  <w:p w14:paraId="2EFF1CDD" w14:textId="77777777" w:rsidR="004F3840" w:rsidRPr="00AE2273" w:rsidRDefault="004F3840" w:rsidP="00235AB1">
    <w:pPr>
      <w:pStyle w:val="Footer"/>
      <w:tabs>
        <w:tab w:val="clear" w:pos="4153"/>
        <w:tab w:val="center" w:pos="4111"/>
      </w:tabs>
      <w:ind w:left="-142"/>
      <w:jc w:val="center"/>
      <w:rPr>
        <w:rStyle w:val="Emphasis"/>
        <w:b/>
        <w:bCs/>
      </w:rPr>
    </w:pPr>
    <w:r w:rsidRPr="00AE2273">
      <w:rPr>
        <w:rStyle w:val="Emphasis"/>
        <w:b/>
        <w:bCs/>
      </w:rPr>
      <w:t>License Number: #13804</w:t>
    </w:r>
  </w:p>
  <w:p w14:paraId="0C032181" w14:textId="77777777" w:rsidR="004F3840" w:rsidRPr="00AE2273" w:rsidRDefault="004F3840" w:rsidP="00AE2273">
    <w:pPr>
      <w:pStyle w:val="Footer"/>
      <w:tabs>
        <w:tab w:val="clear" w:pos="4153"/>
        <w:tab w:val="center" w:pos="4111"/>
      </w:tabs>
      <w:jc w:val="center"/>
      <w:rPr>
        <w:rStyle w:val="Emphasis"/>
        <w:b/>
        <w:bCs/>
      </w:rPr>
    </w:pPr>
    <w:r w:rsidRPr="00AE2273">
      <w:rPr>
        <w:rStyle w:val="Emphasis"/>
        <w:b/>
        <w:bCs/>
      </w:rPr>
      <w:t>Independently owned and operated</w:t>
    </w:r>
  </w:p>
  <w:p w14:paraId="24806BF9" w14:textId="77777777" w:rsidR="00295C50" w:rsidRDefault="00295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EA5E" w14:textId="77777777" w:rsidR="004F3840" w:rsidRDefault="004F3840">
    <w:pPr>
      <w:pStyle w:val="Footer"/>
    </w:pPr>
  </w:p>
  <w:p w14:paraId="0C1CBAC9" w14:textId="77777777" w:rsidR="004F3840" w:rsidRDefault="004F3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E1905" w14:textId="77777777" w:rsidR="002E3489" w:rsidRDefault="002E3489" w:rsidP="00295C50">
      <w:pPr>
        <w:spacing w:after="0" w:line="240" w:lineRule="auto"/>
      </w:pPr>
      <w:r>
        <w:separator/>
      </w:r>
    </w:p>
  </w:footnote>
  <w:footnote w:type="continuationSeparator" w:id="0">
    <w:p w14:paraId="390B179F" w14:textId="77777777" w:rsidR="002E3489" w:rsidRDefault="002E3489" w:rsidP="00295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9770" w14:textId="77777777" w:rsidR="004F3840" w:rsidRDefault="004F3840">
    <w:pPr>
      <w:pStyle w:val="Header"/>
    </w:pPr>
  </w:p>
  <w:p w14:paraId="54E3BF52" w14:textId="77777777" w:rsidR="004F3840" w:rsidRDefault="004F3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0E9E" w14:textId="77777777" w:rsidR="004F3840" w:rsidRDefault="004F3840">
    <w:pPr>
      <w:pStyle w:val="Header"/>
      <w:rPr>
        <w:rtl/>
      </w:rPr>
    </w:pPr>
    <w:r>
      <w:rPr>
        <w:noProof/>
        <w:rtl/>
        <w:lang w:val="ar-SA"/>
      </w:rPr>
      <w:drawing>
        <wp:anchor distT="0" distB="0" distL="114300" distR="114300" simplePos="0" relativeHeight="251660288" behindDoc="0" locked="0" layoutInCell="1" allowOverlap="1" wp14:anchorId="6B9C717A" wp14:editId="6BBA4A5B">
          <wp:simplePos x="0" y="0"/>
          <wp:positionH relativeFrom="margin">
            <wp:posOffset>4074795</wp:posOffset>
          </wp:positionH>
          <wp:positionV relativeFrom="margin">
            <wp:posOffset>-1471930</wp:posOffset>
          </wp:positionV>
          <wp:extent cx="1886253" cy="1008000"/>
          <wp:effectExtent l="0" t="0" r="0" b="0"/>
          <wp:wrapSquare wrapText="bothSides"/>
          <wp:docPr id="996353607"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12.png"/>
                  <pic:cNvPicPr/>
                </pic:nvPicPr>
                <pic:blipFill>
                  <a:blip r:embed="rId1">
                    <a:extLst>
                      <a:ext uri="{28A0092B-C50C-407E-A947-70E740481C1C}">
                        <a14:useLocalDpi xmlns:a14="http://schemas.microsoft.com/office/drawing/2010/main" val="0"/>
                      </a:ext>
                    </a:extLst>
                  </a:blip>
                  <a:stretch>
                    <a:fillRect/>
                  </a:stretch>
                </pic:blipFill>
                <pic:spPr>
                  <a:xfrm>
                    <a:off x="0" y="0"/>
                    <a:ext cx="1886253" cy="1008000"/>
                  </a:xfrm>
                  <a:prstGeom prst="rect">
                    <a:avLst/>
                  </a:prstGeom>
                </pic:spPr>
              </pic:pic>
            </a:graphicData>
          </a:graphic>
          <wp14:sizeRelH relativeFrom="margin">
            <wp14:pctWidth>0</wp14:pctWidth>
          </wp14:sizeRelH>
          <wp14:sizeRelV relativeFrom="margin">
            <wp14:pctHeight>0</wp14:pctHeight>
          </wp14:sizeRelV>
        </wp:anchor>
      </w:drawing>
    </w:r>
    <w:r>
      <w:rPr>
        <w:noProof/>
        <w:rtl/>
        <w:lang w:val="ar-SA"/>
      </w:rPr>
      <w:drawing>
        <wp:anchor distT="0" distB="0" distL="114300" distR="114300" simplePos="0" relativeHeight="251659264" behindDoc="0" locked="0" layoutInCell="1" allowOverlap="1" wp14:anchorId="64C37AC5" wp14:editId="3A49BF31">
          <wp:simplePos x="0" y="0"/>
          <wp:positionH relativeFrom="margin">
            <wp:posOffset>-810895</wp:posOffset>
          </wp:positionH>
          <wp:positionV relativeFrom="page">
            <wp:posOffset>0</wp:posOffset>
          </wp:positionV>
          <wp:extent cx="6891188" cy="1620000"/>
          <wp:effectExtent l="0" t="0" r="5080" b="0"/>
          <wp:wrapSquare wrapText="bothSides"/>
          <wp:docPr id="22718052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1.png"/>
                  <pic:cNvPicPr/>
                </pic:nvPicPr>
                <pic:blipFill>
                  <a:blip r:embed="rId2">
                    <a:extLst>
                      <a:ext uri="{28A0092B-C50C-407E-A947-70E740481C1C}">
                        <a14:useLocalDpi xmlns:a14="http://schemas.microsoft.com/office/drawing/2010/main" val="0"/>
                      </a:ext>
                    </a:extLst>
                  </a:blip>
                  <a:stretch>
                    <a:fillRect/>
                  </a:stretch>
                </pic:blipFill>
                <pic:spPr>
                  <a:xfrm>
                    <a:off x="0" y="0"/>
                    <a:ext cx="6891188" cy="1620000"/>
                  </a:xfrm>
                  <a:prstGeom prst="rect">
                    <a:avLst/>
                  </a:prstGeom>
                </pic:spPr>
              </pic:pic>
            </a:graphicData>
          </a:graphic>
          <wp14:sizeRelH relativeFrom="margin">
            <wp14:pctWidth>0</wp14:pctWidth>
          </wp14:sizeRelH>
          <wp14:sizeRelV relativeFrom="margin">
            <wp14:pctHeight>0</wp14:pctHeight>
          </wp14:sizeRelV>
        </wp:anchor>
      </w:drawing>
    </w:r>
    <w:r>
      <w:rPr>
        <w:noProof/>
        <w:rtl/>
        <w:lang w:val="ar-SA"/>
      </w:rPr>
      <w:ptab w:relativeTo="margin" w:alignment="center" w:leader="none"/>
    </w:r>
  </w:p>
  <w:p w14:paraId="7BD66E70" w14:textId="77777777" w:rsidR="004F3840" w:rsidRDefault="004F3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FAA6" w14:textId="77777777" w:rsidR="004F3840" w:rsidRDefault="004F3840">
    <w:pPr>
      <w:pStyle w:val="Header"/>
    </w:pPr>
  </w:p>
  <w:p w14:paraId="2DF155F7" w14:textId="77777777" w:rsidR="004F3840" w:rsidRDefault="004F38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F3F"/>
    <w:rsid w:val="00004EEE"/>
    <w:rsid w:val="00007796"/>
    <w:rsid w:val="000412B7"/>
    <w:rsid w:val="0007136E"/>
    <w:rsid w:val="000F2E2B"/>
    <w:rsid w:val="00123406"/>
    <w:rsid w:val="00165423"/>
    <w:rsid w:val="00167E3D"/>
    <w:rsid w:val="001C4E18"/>
    <w:rsid w:val="00222BEE"/>
    <w:rsid w:val="00236736"/>
    <w:rsid w:val="00256D87"/>
    <w:rsid w:val="00266B80"/>
    <w:rsid w:val="00295C50"/>
    <w:rsid w:val="002C5F3F"/>
    <w:rsid w:val="002E3489"/>
    <w:rsid w:val="00374DE4"/>
    <w:rsid w:val="00395D3C"/>
    <w:rsid w:val="003C3D30"/>
    <w:rsid w:val="003E285F"/>
    <w:rsid w:val="00416A54"/>
    <w:rsid w:val="00446828"/>
    <w:rsid w:val="004C045B"/>
    <w:rsid w:val="004F3840"/>
    <w:rsid w:val="0053627A"/>
    <w:rsid w:val="0054349C"/>
    <w:rsid w:val="0055007C"/>
    <w:rsid w:val="005A25E3"/>
    <w:rsid w:val="005A794A"/>
    <w:rsid w:val="005B251F"/>
    <w:rsid w:val="006528A4"/>
    <w:rsid w:val="00677BA6"/>
    <w:rsid w:val="00803B04"/>
    <w:rsid w:val="00855E28"/>
    <w:rsid w:val="0086330D"/>
    <w:rsid w:val="009250EB"/>
    <w:rsid w:val="00952683"/>
    <w:rsid w:val="00975726"/>
    <w:rsid w:val="009B4EDB"/>
    <w:rsid w:val="00A82548"/>
    <w:rsid w:val="00AD754D"/>
    <w:rsid w:val="00AE50B7"/>
    <w:rsid w:val="00AF3EBB"/>
    <w:rsid w:val="00B5593E"/>
    <w:rsid w:val="00B83361"/>
    <w:rsid w:val="00B97007"/>
    <w:rsid w:val="00BD31FB"/>
    <w:rsid w:val="00C34ED1"/>
    <w:rsid w:val="00C37714"/>
    <w:rsid w:val="00C8080A"/>
    <w:rsid w:val="00C96C5F"/>
    <w:rsid w:val="00CE0572"/>
    <w:rsid w:val="00CE24BF"/>
    <w:rsid w:val="00D90318"/>
    <w:rsid w:val="00D953D5"/>
    <w:rsid w:val="00DE7B24"/>
    <w:rsid w:val="00E3162B"/>
    <w:rsid w:val="00E86263"/>
    <w:rsid w:val="00ED55C4"/>
    <w:rsid w:val="00F01DD1"/>
    <w:rsid w:val="00F4396B"/>
    <w:rsid w:val="00F851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E2781"/>
  <w15:docId w15:val="{28F52CFF-F77B-4A7D-AEDE-6D0B4AE7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840"/>
    <w:pPr>
      <w:spacing w:before="100"/>
    </w:pPr>
    <w:rPr>
      <w:rFonts w:eastAsiaTheme="minorEastAsia"/>
      <w:sz w:val="20"/>
      <w:szCs w:val="20"/>
    </w:rPr>
  </w:style>
  <w:style w:type="paragraph" w:styleId="Heading1">
    <w:name w:val="heading 1"/>
    <w:basedOn w:val="Normal"/>
    <w:next w:val="Normal"/>
    <w:link w:val="Heading1Char"/>
    <w:uiPriority w:val="9"/>
    <w:qFormat/>
    <w:rsid w:val="004F384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4F3840"/>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4F384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4F384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4F384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4F384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4F384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4F384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F3840"/>
    <w:pPr>
      <w:spacing w:before="200" w:after="0"/>
      <w:outlineLvl w:val="8"/>
    </w:pPr>
    <w:rPr>
      <w:i/>
      <w:iCs/>
      <w:caps/>
      <w:spacing w:val="10"/>
      <w:sz w:val="18"/>
      <w:szCs w:val="18"/>
    </w:rPr>
  </w:style>
  <w:style w:type="character" w:default="1" w:styleId="DefaultParagraphFont">
    <w:name w:val="Default Paragraph Font"/>
    <w:uiPriority w:val="1"/>
    <w:semiHidden/>
    <w:unhideWhenUsed/>
    <w:rsid w:val="004F38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3840"/>
  </w:style>
  <w:style w:type="table" w:styleId="TableGrid">
    <w:name w:val="Table Grid"/>
    <w:basedOn w:val="TableNormal"/>
    <w:uiPriority w:val="59"/>
    <w:rsid w:val="002C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03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318"/>
    <w:rPr>
      <w:rFonts w:ascii="Tahoma" w:hAnsi="Tahoma" w:cs="Tahoma"/>
      <w:sz w:val="16"/>
      <w:szCs w:val="16"/>
    </w:rPr>
  </w:style>
  <w:style w:type="paragraph" w:styleId="ListParagraph">
    <w:name w:val="List Paragraph"/>
    <w:basedOn w:val="Normal"/>
    <w:uiPriority w:val="34"/>
    <w:qFormat/>
    <w:rsid w:val="00A82548"/>
    <w:pPr>
      <w:ind w:left="720"/>
      <w:contextualSpacing/>
    </w:pPr>
  </w:style>
  <w:style w:type="paragraph" w:customStyle="1" w:styleId="Default">
    <w:name w:val="Default"/>
    <w:rsid w:val="00F01DD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4F384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F3840"/>
    <w:rPr>
      <w:rFonts w:eastAsiaTheme="minorEastAsia"/>
      <w:sz w:val="20"/>
      <w:szCs w:val="20"/>
    </w:rPr>
  </w:style>
  <w:style w:type="paragraph" w:styleId="Footer">
    <w:name w:val="footer"/>
    <w:basedOn w:val="Normal"/>
    <w:link w:val="FooterChar"/>
    <w:uiPriority w:val="99"/>
    <w:unhideWhenUsed/>
    <w:rsid w:val="004F384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F3840"/>
    <w:rPr>
      <w:rFonts w:eastAsiaTheme="minorEastAsia"/>
      <w:sz w:val="20"/>
      <w:szCs w:val="20"/>
    </w:rPr>
  </w:style>
  <w:style w:type="character" w:customStyle="1" w:styleId="Heading1Char">
    <w:name w:val="Heading 1 Char"/>
    <w:basedOn w:val="DefaultParagraphFont"/>
    <w:link w:val="Heading1"/>
    <w:uiPriority w:val="9"/>
    <w:rsid w:val="004F3840"/>
    <w:rPr>
      <w:rFonts w:eastAsiaTheme="minorEastAsia"/>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4F3840"/>
    <w:rPr>
      <w:rFonts w:eastAsiaTheme="minorEastAsia"/>
      <w:caps/>
      <w:spacing w:val="15"/>
      <w:sz w:val="20"/>
      <w:szCs w:val="20"/>
      <w:shd w:val="clear" w:color="auto" w:fill="DBE5F1" w:themeFill="accent1" w:themeFillTint="33"/>
    </w:rPr>
  </w:style>
  <w:style w:type="character" w:customStyle="1" w:styleId="Heading3Char">
    <w:name w:val="Heading 3 Char"/>
    <w:basedOn w:val="DefaultParagraphFont"/>
    <w:link w:val="Heading3"/>
    <w:uiPriority w:val="9"/>
    <w:semiHidden/>
    <w:rsid w:val="004F3840"/>
    <w:rPr>
      <w:rFonts w:eastAsiaTheme="minorEastAsia"/>
      <w:caps/>
      <w:color w:val="243F60" w:themeColor="accent1" w:themeShade="7F"/>
      <w:spacing w:val="15"/>
      <w:sz w:val="20"/>
      <w:szCs w:val="20"/>
    </w:rPr>
  </w:style>
  <w:style w:type="character" w:customStyle="1" w:styleId="Heading4Char">
    <w:name w:val="Heading 4 Char"/>
    <w:basedOn w:val="DefaultParagraphFont"/>
    <w:link w:val="Heading4"/>
    <w:uiPriority w:val="9"/>
    <w:semiHidden/>
    <w:rsid w:val="004F3840"/>
    <w:rPr>
      <w:rFonts w:eastAsiaTheme="minorEastAsia"/>
      <w:caps/>
      <w:color w:val="365F91" w:themeColor="accent1" w:themeShade="BF"/>
      <w:spacing w:val="10"/>
      <w:sz w:val="20"/>
      <w:szCs w:val="20"/>
    </w:rPr>
  </w:style>
  <w:style w:type="character" w:customStyle="1" w:styleId="Heading5Char">
    <w:name w:val="Heading 5 Char"/>
    <w:basedOn w:val="DefaultParagraphFont"/>
    <w:link w:val="Heading5"/>
    <w:uiPriority w:val="9"/>
    <w:semiHidden/>
    <w:rsid w:val="004F3840"/>
    <w:rPr>
      <w:rFonts w:eastAsiaTheme="minorEastAsia"/>
      <w:caps/>
      <w:color w:val="365F91" w:themeColor="accent1" w:themeShade="BF"/>
      <w:spacing w:val="10"/>
      <w:sz w:val="20"/>
      <w:szCs w:val="20"/>
    </w:rPr>
  </w:style>
  <w:style w:type="character" w:customStyle="1" w:styleId="Heading6Char">
    <w:name w:val="Heading 6 Char"/>
    <w:basedOn w:val="DefaultParagraphFont"/>
    <w:link w:val="Heading6"/>
    <w:uiPriority w:val="9"/>
    <w:semiHidden/>
    <w:rsid w:val="004F3840"/>
    <w:rPr>
      <w:rFonts w:eastAsiaTheme="minorEastAsia"/>
      <w:caps/>
      <w:color w:val="365F91" w:themeColor="accent1" w:themeShade="BF"/>
      <w:spacing w:val="10"/>
      <w:sz w:val="20"/>
      <w:szCs w:val="20"/>
    </w:rPr>
  </w:style>
  <w:style w:type="character" w:customStyle="1" w:styleId="Heading7Char">
    <w:name w:val="Heading 7 Char"/>
    <w:basedOn w:val="DefaultParagraphFont"/>
    <w:link w:val="Heading7"/>
    <w:uiPriority w:val="9"/>
    <w:semiHidden/>
    <w:rsid w:val="004F3840"/>
    <w:rPr>
      <w:rFonts w:eastAsiaTheme="minorEastAsia"/>
      <w:caps/>
      <w:color w:val="365F91" w:themeColor="accent1" w:themeShade="BF"/>
      <w:spacing w:val="10"/>
      <w:sz w:val="20"/>
      <w:szCs w:val="20"/>
    </w:rPr>
  </w:style>
  <w:style w:type="character" w:customStyle="1" w:styleId="Heading8Char">
    <w:name w:val="Heading 8 Char"/>
    <w:basedOn w:val="DefaultParagraphFont"/>
    <w:link w:val="Heading8"/>
    <w:uiPriority w:val="9"/>
    <w:semiHidden/>
    <w:rsid w:val="004F3840"/>
    <w:rPr>
      <w:rFonts w:eastAsiaTheme="minorEastAsia"/>
      <w:caps/>
      <w:spacing w:val="10"/>
      <w:sz w:val="18"/>
      <w:szCs w:val="18"/>
    </w:rPr>
  </w:style>
  <w:style w:type="character" w:customStyle="1" w:styleId="Heading9Char">
    <w:name w:val="Heading 9 Char"/>
    <w:basedOn w:val="DefaultParagraphFont"/>
    <w:link w:val="Heading9"/>
    <w:uiPriority w:val="9"/>
    <w:semiHidden/>
    <w:rsid w:val="004F3840"/>
    <w:rPr>
      <w:rFonts w:eastAsiaTheme="minorEastAsia"/>
      <w:i/>
      <w:iCs/>
      <w:caps/>
      <w:spacing w:val="10"/>
      <w:sz w:val="18"/>
      <w:szCs w:val="18"/>
    </w:rPr>
  </w:style>
  <w:style w:type="character" w:customStyle="1" w:styleId="elementor-icon-list-text">
    <w:name w:val="elementor-icon-list-text"/>
    <w:basedOn w:val="DefaultParagraphFont"/>
    <w:rsid w:val="004F3840"/>
  </w:style>
  <w:style w:type="character" w:styleId="Hyperlink">
    <w:name w:val="Hyperlink"/>
    <w:basedOn w:val="DefaultParagraphFont"/>
    <w:uiPriority w:val="99"/>
    <w:unhideWhenUsed/>
    <w:rsid w:val="004F3840"/>
    <w:rPr>
      <w:color w:val="0000FF" w:themeColor="hyperlink"/>
      <w:u w:val="single"/>
    </w:rPr>
  </w:style>
  <w:style w:type="character" w:styleId="UnresolvedMention">
    <w:name w:val="Unresolved Mention"/>
    <w:basedOn w:val="DefaultParagraphFont"/>
    <w:uiPriority w:val="99"/>
    <w:semiHidden/>
    <w:unhideWhenUsed/>
    <w:rsid w:val="004F3840"/>
    <w:rPr>
      <w:color w:val="605E5C"/>
      <w:shd w:val="clear" w:color="auto" w:fill="E1DFDD"/>
    </w:rPr>
  </w:style>
  <w:style w:type="paragraph" w:styleId="Caption">
    <w:name w:val="caption"/>
    <w:basedOn w:val="Normal"/>
    <w:next w:val="Normal"/>
    <w:uiPriority w:val="35"/>
    <w:semiHidden/>
    <w:unhideWhenUsed/>
    <w:qFormat/>
    <w:rsid w:val="004F3840"/>
    <w:rPr>
      <w:b/>
      <w:bCs/>
      <w:color w:val="365F91" w:themeColor="accent1" w:themeShade="BF"/>
      <w:sz w:val="16"/>
      <w:szCs w:val="16"/>
    </w:rPr>
  </w:style>
  <w:style w:type="paragraph" w:styleId="Title">
    <w:name w:val="Title"/>
    <w:basedOn w:val="Normal"/>
    <w:next w:val="Normal"/>
    <w:link w:val="TitleChar"/>
    <w:uiPriority w:val="10"/>
    <w:qFormat/>
    <w:rsid w:val="004F3840"/>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4F3840"/>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4F384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F3840"/>
    <w:rPr>
      <w:rFonts w:eastAsiaTheme="minorEastAsia"/>
      <w:caps/>
      <w:color w:val="595959" w:themeColor="text1" w:themeTint="A6"/>
      <w:spacing w:val="10"/>
      <w:sz w:val="21"/>
      <w:szCs w:val="21"/>
    </w:rPr>
  </w:style>
  <w:style w:type="character" w:styleId="Strong">
    <w:name w:val="Strong"/>
    <w:uiPriority w:val="22"/>
    <w:qFormat/>
    <w:rsid w:val="004F3840"/>
    <w:rPr>
      <w:b/>
      <w:bCs/>
    </w:rPr>
  </w:style>
  <w:style w:type="character" w:styleId="Emphasis">
    <w:name w:val="Emphasis"/>
    <w:uiPriority w:val="20"/>
    <w:qFormat/>
    <w:rsid w:val="004F3840"/>
    <w:rPr>
      <w:caps/>
      <w:color w:val="243F60" w:themeColor="accent1" w:themeShade="7F"/>
      <w:spacing w:val="5"/>
    </w:rPr>
  </w:style>
  <w:style w:type="paragraph" w:styleId="NoSpacing">
    <w:name w:val="No Spacing"/>
    <w:uiPriority w:val="1"/>
    <w:qFormat/>
    <w:rsid w:val="004F3840"/>
    <w:pPr>
      <w:spacing w:before="100" w:after="0" w:line="240" w:lineRule="auto"/>
    </w:pPr>
    <w:rPr>
      <w:rFonts w:eastAsiaTheme="minorEastAsia"/>
      <w:sz w:val="20"/>
      <w:szCs w:val="20"/>
    </w:rPr>
  </w:style>
  <w:style w:type="paragraph" w:styleId="Quote">
    <w:name w:val="Quote"/>
    <w:basedOn w:val="Normal"/>
    <w:next w:val="Normal"/>
    <w:link w:val="QuoteChar"/>
    <w:uiPriority w:val="29"/>
    <w:qFormat/>
    <w:rsid w:val="004F3840"/>
    <w:rPr>
      <w:i/>
      <w:iCs/>
      <w:sz w:val="24"/>
      <w:szCs w:val="24"/>
    </w:rPr>
  </w:style>
  <w:style w:type="character" w:customStyle="1" w:styleId="QuoteChar">
    <w:name w:val="Quote Char"/>
    <w:basedOn w:val="DefaultParagraphFont"/>
    <w:link w:val="Quote"/>
    <w:uiPriority w:val="29"/>
    <w:rsid w:val="004F3840"/>
    <w:rPr>
      <w:rFonts w:eastAsiaTheme="minorEastAsia"/>
      <w:i/>
      <w:iCs/>
      <w:sz w:val="24"/>
      <w:szCs w:val="24"/>
    </w:rPr>
  </w:style>
  <w:style w:type="paragraph" w:styleId="IntenseQuote">
    <w:name w:val="Intense Quote"/>
    <w:basedOn w:val="Normal"/>
    <w:next w:val="Normal"/>
    <w:link w:val="IntenseQuoteChar"/>
    <w:uiPriority w:val="30"/>
    <w:qFormat/>
    <w:rsid w:val="004F3840"/>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4F3840"/>
    <w:rPr>
      <w:rFonts w:eastAsiaTheme="minorEastAsia"/>
      <w:color w:val="4F81BD" w:themeColor="accent1"/>
      <w:sz w:val="24"/>
      <w:szCs w:val="24"/>
    </w:rPr>
  </w:style>
  <w:style w:type="character" w:styleId="SubtleEmphasis">
    <w:name w:val="Subtle Emphasis"/>
    <w:uiPriority w:val="19"/>
    <w:qFormat/>
    <w:rsid w:val="004F3840"/>
    <w:rPr>
      <w:i/>
      <w:iCs/>
      <w:color w:val="243F60" w:themeColor="accent1" w:themeShade="7F"/>
    </w:rPr>
  </w:style>
  <w:style w:type="character" w:styleId="IntenseEmphasis">
    <w:name w:val="Intense Emphasis"/>
    <w:uiPriority w:val="21"/>
    <w:qFormat/>
    <w:rsid w:val="004F3840"/>
    <w:rPr>
      <w:b/>
      <w:bCs/>
      <w:caps/>
      <w:color w:val="243F60" w:themeColor="accent1" w:themeShade="7F"/>
      <w:spacing w:val="10"/>
    </w:rPr>
  </w:style>
  <w:style w:type="character" w:styleId="SubtleReference">
    <w:name w:val="Subtle Reference"/>
    <w:uiPriority w:val="31"/>
    <w:qFormat/>
    <w:rsid w:val="004F3840"/>
    <w:rPr>
      <w:b/>
      <w:bCs/>
      <w:color w:val="4F81BD" w:themeColor="accent1"/>
    </w:rPr>
  </w:style>
  <w:style w:type="character" w:styleId="IntenseReference">
    <w:name w:val="Intense Reference"/>
    <w:uiPriority w:val="32"/>
    <w:qFormat/>
    <w:rsid w:val="004F3840"/>
    <w:rPr>
      <w:b/>
      <w:bCs/>
      <w:i/>
      <w:iCs/>
      <w:caps/>
      <w:color w:val="4F81BD" w:themeColor="accent1"/>
    </w:rPr>
  </w:style>
  <w:style w:type="character" w:styleId="BookTitle">
    <w:name w:val="Book Title"/>
    <w:uiPriority w:val="33"/>
    <w:qFormat/>
    <w:rsid w:val="004F3840"/>
    <w:rPr>
      <w:b/>
      <w:bCs/>
      <w:i/>
      <w:iCs/>
      <w:spacing w:val="0"/>
    </w:rPr>
  </w:style>
  <w:style w:type="paragraph" w:styleId="TOCHeading">
    <w:name w:val="TOC Heading"/>
    <w:basedOn w:val="Heading1"/>
    <w:next w:val="Normal"/>
    <w:uiPriority w:val="39"/>
    <w:semiHidden/>
    <w:unhideWhenUsed/>
    <w:qFormat/>
    <w:rsid w:val="004F384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k\Downloads\xlg-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xlg-letter-head</Template>
  <TotalTime>2</TotalTime>
  <Pages>4</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Approved Financial Inc.</dc:creator>
  <dc:description>Rev. June/2018</dc:description>
  <cp:lastModifiedBy>Bassel A.</cp:lastModifiedBy>
  <cp:revision>7</cp:revision>
  <cp:lastPrinted>2022-10-25T22:15:00Z</cp:lastPrinted>
  <dcterms:created xsi:type="dcterms:W3CDTF">2024-08-14T02:59:00Z</dcterms:created>
  <dcterms:modified xsi:type="dcterms:W3CDTF">2026-02-12T00:11:00Z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a4e8a739fc787343f76c3e215ce9d11234d0fcce7778f572cf4dbd8e1a0f0562</vt:lpwstr>
  </property>
</Properties>
</file>